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174" w:rsidRPr="000D4DEB" w:rsidRDefault="000D4DEB" w:rsidP="002646B0">
      <w:pPr>
        <w:ind w:firstLine="0"/>
        <w:jc w:val="center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 xml:space="preserve">          </w:t>
      </w:r>
      <w:r w:rsidR="00442174" w:rsidRPr="000D4DEB">
        <w:rPr>
          <w:rFonts w:eastAsia="Calibri"/>
          <w:b/>
          <w:sz w:val="22"/>
        </w:rPr>
        <w:t>ИЗВЕЩЕНИЕ</w:t>
      </w:r>
    </w:p>
    <w:p w:rsidR="00BD42CA" w:rsidRPr="000D4DEB" w:rsidRDefault="00442174" w:rsidP="000D4DEB">
      <w:pPr>
        <w:jc w:val="center"/>
        <w:rPr>
          <w:b/>
          <w:sz w:val="22"/>
          <w:lang w:eastAsia="ru-RU"/>
        </w:rPr>
      </w:pPr>
      <w:r w:rsidRPr="000D4DEB">
        <w:rPr>
          <w:b/>
          <w:sz w:val="22"/>
          <w:lang w:eastAsia="ru-RU"/>
        </w:rPr>
        <w:t>о проведении аукциона</w:t>
      </w:r>
    </w:p>
    <w:p w:rsidR="00442174" w:rsidRPr="000D4DEB" w:rsidRDefault="00442174" w:rsidP="00442174">
      <w:pPr>
        <w:rPr>
          <w:b/>
          <w:sz w:val="22"/>
          <w:lang w:eastAsia="ru-RU"/>
        </w:rPr>
      </w:pPr>
    </w:p>
    <w:p w:rsidR="00442174" w:rsidRPr="000D4DEB" w:rsidRDefault="00442174" w:rsidP="00442174">
      <w:pPr>
        <w:rPr>
          <w:sz w:val="22"/>
        </w:rPr>
      </w:pPr>
      <w:r w:rsidRPr="00772E4C">
        <w:rPr>
          <w:b/>
          <w:sz w:val="22"/>
        </w:rPr>
        <w:t>1.Организатор аукциона</w:t>
      </w:r>
      <w:r w:rsidRPr="000D4DEB">
        <w:rPr>
          <w:sz w:val="22"/>
        </w:rPr>
        <w:t>: комитет по управлению муниципальным имуществом городского округа Кинель</w:t>
      </w:r>
      <w:r w:rsidR="00570D5A">
        <w:rPr>
          <w:sz w:val="22"/>
        </w:rPr>
        <w:t xml:space="preserve"> Самарской области</w:t>
      </w:r>
      <w:r w:rsidRPr="000D4DEB">
        <w:rPr>
          <w:sz w:val="22"/>
        </w:rPr>
        <w:t xml:space="preserve">, адрес 446430, Самарская область, </w:t>
      </w:r>
      <w:proofErr w:type="spellStart"/>
      <w:r w:rsidRPr="000D4DEB">
        <w:rPr>
          <w:sz w:val="22"/>
        </w:rPr>
        <w:t>г.Кинель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>, 42А, тел. 8(846-63) 6-17-78.</w:t>
      </w:r>
    </w:p>
    <w:p w:rsidR="00442174" w:rsidRPr="000D4DEB" w:rsidRDefault="00442174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2. Адрес Организатора аукциона</w:t>
      </w:r>
      <w:r w:rsidRPr="000D4DEB">
        <w:rPr>
          <w:sz w:val="22"/>
          <w:szCs w:val="22"/>
        </w:rPr>
        <w:t xml:space="preserve">: 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 xml:space="preserve">, 42А, сайт </w:t>
      </w:r>
      <w:r w:rsidRPr="000D4DEB">
        <w:rPr>
          <w:sz w:val="22"/>
          <w:szCs w:val="22"/>
          <w:lang w:val="en-US"/>
        </w:rPr>
        <w:t>http</w:t>
      </w:r>
      <w:r w:rsidRPr="000D4DEB">
        <w:rPr>
          <w:sz w:val="22"/>
          <w:szCs w:val="22"/>
        </w:rPr>
        <w:t>://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</w:rPr>
        <w:t>кинельгород.рф</w:t>
      </w:r>
      <w:proofErr w:type="spellEnd"/>
      <w:r w:rsidRPr="000D4DEB">
        <w:rPr>
          <w:sz w:val="22"/>
          <w:szCs w:val="22"/>
        </w:rPr>
        <w:t xml:space="preserve">, адрес электронной почты </w:t>
      </w:r>
      <w:proofErr w:type="spellStart"/>
      <w:r w:rsidRPr="000D4DEB">
        <w:rPr>
          <w:sz w:val="22"/>
          <w:szCs w:val="22"/>
          <w:lang w:val="en-US"/>
        </w:rPr>
        <w:t>kineladmin</w:t>
      </w:r>
      <w:proofErr w:type="spellEnd"/>
      <w:r w:rsidRPr="000D4DEB">
        <w:rPr>
          <w:sz w:val="22"/>
          <w:szCs w:val="22"/>
        </w:rPr>
        <w:t>@</w:t>
      </w:r>
      <w:proofErr w:type="spellStart"/>
      <w:r w:rsidRPr="000D4DEB">
        <w:rPr>
          <w:sz w:val="22"/>
          <w:szCs w:val="22"/>
          <w:lang w:val="en-US"/>
        </w:rPr>
        <w:t>yandex</w:t>
      </w:r>
      <w:proofErr w:type="spellEnd"/>
      <w:r w:rsidRPr="000D4DEB">
        <w:rPr>
          <w:sz w:val="22"/>
          <w:szCs w:val="22"/>
        </w:rPr>
        <w:t>.</w:t>
      </w:r>
      <w:proofErr w:type="spellStart"/>
      <w:r w:rsidRPr="000D4DEB">
        <w:rPr>
          <w:sz w:val="22"/>
          <w:szCs w:val="22"/>
          <w:lang w:val="en-US"/>
        </w:rPr>
        <w:t>ru</w:t>
      </w:r>
      <w:proofErr w:type="spellEnd"/>
      <w:r w:rsidRPr="000D4DEB">
        <w:rPr>
          <w:sz w:val="22"/>
          <w:szCs w:val="22"/>
        </w:rPr>
        <w:t>, тел. 8(846-63) 6-17-78.</w:t>
      </w:r>
    </w:p>
    <w:p w:rsidR="008D712C" w:rsidRPr="000D4DEB" w:rsidRDefault="008D712C" w:rsidP="00442174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3.Уполномоченный орган</w:t>
      </w:r>
      <w:r w:rsidRPr="000D4DEB">
        <w:rPr>
          <w:sz w:val="22"/>
          <w:szCs w:val="22"/>
        </w:rPr>
        <w:t xml:space="preserve">: Администрация </w:t>
      </w:r>
      <w:proofErr w:type="spellStart"/>
      <w:r w:rsidRPr="000D4DEB">
        <w:rPr>
          <w:sz w:val="22"/>
          <w:szCs w:val="22"/>
        </w:rPr>
        <w:t>г.о.Кинель</w:t>
      </w:r>
      <w:proofErr w:type="spellEnd"/>
      <w:r w:rsidRPr="000D4DEB">
        <w:rPr>
          <w:sz w:val="22"/>
          <w:szCs w:val="22"/>
        </w:rPr>
        <w:t xml:space="preserve"> Самарской области (446430,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 xml:space="preserve">, </w:t>
      </w:r>
      <w:proofErr w:type="spellStart"/>
      <w:r w:rsidRPr="000D4DEB">
        <w:rPr>
          <w:sz w:val="22"/>
          <w:szCs w:val="22"/>
        </w:rPr>
        <w:t>ул.Мира</w:t>
      </w:r>
      <w:proofErr w:type="spellEnd"/>
      <w:r w:rsidRPr="000D4DEB">
        <w:rPr>
          <w:sz w:val="22"/>
          <w:szCs w:val="22"/>
        </w:rPr>
        <w:t>, 42А)</w:t>
      </w:r>
    </w:p>
    <w:p w:rsidR="0009563C" w:rsidRDefault="002646B0" w:rsidP="0009563C">
      <w:pPr>
        <w:pStyle w:val="1250"/>
        <w:rPr>
          <w:sz w:val="22"/>
          <w:szCs w:val="22"/>
        </w:rPr>
      </w:pPr>
      <w:r w:rsidRPr="00772E4C">
        <w:rPr>
          <w:b/>
          <w:sz w:val="22"/>
          <w:szCs w:val="22"/>
        </w:rPr>
        <w:t>4</w:t>
      </w:r>
      <w:r w:rsidR="008D712C" w:rsidRPr="00772E4C">
        <w:rPr>
          <w:b/>
          <w:sz w:val="22"/>
          <w:szCs w:val="22"/>
        </w:rPr>
        <w:t>. Решение органа, уполномоченного на принятие правового акта о проведении торгов</w:t>
      </w:r>
      <w:r w:rsidR="008D712C" w:rsidRPr="000D4DEB">
        <w:rPr>
          <w:sz w:val="22"/>
          <w:szCs w:val="22"/>
        </w:rPr>
        <w:t>:</w:t>
      </w:r>
      <w:r w:rsidR="00705BDF">
        <w:rPr>
          <w:sz w:val="22"/>
          <w:szCs w:val="22"/>
        </w:rPr>
        <w:t xml:space="preserve"> </w:t>
      </w:r>
      <w:r w:rsidR="00570D5A" w:rsidRPr="000D4DEB">
        <w:rPr>
          <w:sz w:val="22"/>
          <w:szCs w:val="22"/>
        </w:rPr>
        <w:t>постановление администрации городского округа Кинель</w:t>
      </w:r>
      <w:r w:rsidR="006F06F7">
        <w:rPr>
          <w:sz w:val="22"/>
          <w:szCs w:val="22"/>
        </w:rPr>
        <w:t xml:space="preserve"> Самарской области </w:t>
      </w:r>
      <w:r w:rsidR="006F06F7" w:rsidRPr="00FD5CBF">
        <w:rPr>
          <w:sz w:val="22"/>
          <w:szCs w:val="22"/>
        </w:rPr>
        <w:t xml:space="preserve">от </w:t>
      </w:r>
      <w:r w:rsidR="007F35FC">
        <w:rPr>
          <w:sz w:val="22"/>
          <w:szCs w:val="22"/>
        </w:rPr>
        <w:t>2</w:t>
      </w:r>
      <w:r w:rsidR="0046690C">
        <w:rPr>
          <w:sz w:val="22"/>
          <w:szCs w:val="22"/>
        </w:rPr>
        <w:t>0.02.2020</w:t>
      </w:r>
      <w:r w:rsidR="008C56F6" w:rsidRPr="006E59B3">
        <w:rPr>
          <w:sz w:val="22"/>
          <w:szCs w:val="22"/>
        </w:rPr>
        <w:t xml:space="preserve"> г. №</w:t>
      </w:r>
      <w:r w:rsidR="007F35FC">
        <w:rPr>
          <w:sz w:val="22"/>
          <w:szCs w:val="22"/>
        </w:rPr>
        <w:t>522</w:t>
      </w:r>
      <w:r w:rsidR="00570D5A" w:rsidRPr="000D4DEB">
        <w:rPr>
          <w:sz w:val="22"/>
          <w:szCs w:val="22"/>
        </w:rPr>
        <w:t xml:space="preserve"> </w:t>
      </w:r>
      <w:r w:rsidR="0009563C" w:rsidRPr="000D4DEB">
        <w:rPr>
          <w:sz w:val="22"/>
          <w:szCs w:val="22"/>
        </w:rPr>
        <w:t xml:space="preserve">«О проведении </w:t>
      </w:r>
      <w:r w:rsidR="00705BDF">
        <w:rPr>
          <w:sz w:val="22"/>
          <w:szCs w:val="22"/>
        </w:rPr>
        <w:t>торгов</w:t>
      </w:r>
      <w:r w:rsidR="006F06F7">
        <w:rPr>
          <w:sz w:val="22"/>
          <w:szCs w:val="22"/>
        </w:rPr>
        <w:t xml:space="preserve"> </w:t>
      </w:r>
      <w:r w:rsidR="0009563C">
        <w:rPr>
          <w:sz w:val="22"/>
          <w:szCs w:val="22"/>
        </w:rPr>
        <w:t>по продаже</w:t>
      </w:r>
      <w:r w:rsidR="0009563C" w:rsidRPr="000D4DEB">
        <w:rPr>
          <w:sz w:val="22"/>
          <w:szCs w:val="22"/>
        </w:rPr>
        <w:t xml:space="preserve"> </w:t>
      </w:r>
      <w:r w:rsidR="0009563C">
        <w:rPr>
          <w:sz w:val="22"/>
          <w:szCs w:val="22"/>
        </w:rPr>
        <w:t>права на заключение дого</w:t>
      </w:r>
      <w:r w:rsidR="006F06F7">
        <w:rPr>
          <w:sz w:val="22"/>
          <w:szCs w:val="22"/>
        </w:rPr>
        <w:t>вора аренды земельн</w:t>
      </w:r>
      <w:r w:rsidR="0046690C">
        <w:rPr>
          <w:sz w:val="22"/>
          <w:szCs w:val="22"/>
        </w:rPr>
        <w:t>ых</w:t>
      </w:r>
      <w:r w:rsidR="003F4384">
        <w:rPr>
          <w:sz w:val="22"/>
          <w:szCs w:val="22"/>
        </w:rPr>
        <w:t xml:space="preserve"> участк</w:t>
      </w:r>
      <w:r w:rsidR="0046690C">
        <w:rPr>
          <w:sz w:val="22"/>
          <w:szCs w:val="22"/>
        </w:rPr>
        <w:t>ов</w:t>
      </w:r>
      <w:r w:rsidR="006F06F7">
        <w:rPr>
          <w:sz w:val="22"/>
          <w:szCs w:val="22"/>
        </w:rPr>
        <w:t>»</w:t>
      </w:r>
      <w:r w:rsidR="003F4384">
        <w:rPr>
          <w:sz w:val="22"/>
          <w:szCs w:val="22"/>
        </w:rPr>
        <w:t>.</w:t>
      </w:r>
    </w:p>
    <w:p w:rsidR="00442174" w:rsidRPr="000D4DEB" w:rsidRDefault="002646B0" w:rsidP="00442174">
      <w:pPr>
        <w:rPr>
          <w:sz w:val="22"/>
        </w:rPr>
      </w:pPr>
      <w:r w:rsidRPr="00772E4C">
        <w:rPr>
          <w:b/>
          <w:sz w:val="22"/>
        </w:rPr>
        <w:t>5</w:t>
      </w:r>
      <w:r w:rsidR="00442174" w:rsidRPr="00772E4C">
        <w:rPr>
          <w:b/>
          <w:sz w:val="22"/>
        </w:rPr>
        <w:t>. Форма торгов</w:t>
      </w:r>
      <w:r w:rsidR="00442174" w:rsidRPr="000D4DEB">
        <w:rPr>
          <w:sz w:val="22"/>
        </w:rPr>
        <w:t>: открытый аукцион по составу участников и по способу подачи предложений о цене земельных участков (далее аукцион).</w:t>
      </w:r>
    </w:p>
    <w:p w:rsidR="00442174" w:rsidRDefault="000D4DEB" w:rsidP="00442174">
      <w:pPr>
        <w:ind w:firstLine="631"/>
        <w:rPr>
          <w:sz w:val="22"/>
        </w:rPr>
      </w:pPr>
      <w:r w:rsidRPr="00772E4C">
        <w:rPr>
          <w:b/>
          <w:sz w:val="22"/>
        </w:rPr>
        <w:t>6</w:t>
      </w:r>
      <w:r w:rsidR="00442174" w:rsidRPr="00772E4C">
        <w:rPr>
          <w:b/>
          <w:sz w:val="22"/>
        </w:rPr>
        <w:t>. Предмет аукциона</w:t>
      </w:r>
      <w:r w:rsidR="00442174" w:rsidRPr="000D4DEB">
        <w:rPr>
          <w:sz w:val="22"/>
        </w:rPr>
        <w:t xml:space="preserve">: </w:t>
      </w:r>
    </w:p>
    <w:p w:rsidR="004322D3" w:rsidRPr="007F35FC" w:rsidRDefault="004322D3" w:rsidP="004322D3">
      <w:pPr>
        <w:ind w:firstLine="567"/>
        <w:rPr>
          <w:sz w:val="24"/>
          <w:szCs w:val="24"/>
        </w:rPr>
      </w:pPr>
      <w:r w:rsidRPr="000D4DEB">
        <w:rPr>
          <w:b/>
          <w:sz w:val="22"/>
        </w:rPr>
        <w:t>Лот №1</w:t>
      </w:r>
      <w:r w:rsidRPr="000D4DEB">
        <w:rPr>
          <w:sz w:val="22"/>
        </w:rPr>
        <w:t xml:space="preserve"> - </w:t>
      </w:r>
      <w:r w:rsidRPr="007F35FC">
        <w:rPr>
          <w:iCs/>
          <w:sz w:val="24"/>
          <w:szCs w:val="24"/>
        </w:rPr>
        <w:t>право заключ</w:t>
      </w:r>
      <w:r w:rsidR="007F35FC" w:rsidRPr="007F35FC">
        <w:rPr>
          <w:iCs/>
          <w:sz w:val="24"/>
          <w:szCs w:val="24"/>
        </w:rPr>
        <w:t>ения договора аренды сроком на 1</w:t>
      </w:r>
      <w:r w:rsidRPr="007F35FC">
        <w:rPr>
          <w:iCs/>
          <w:sz w:val="24"/>
          <w:szCs w:val="24"/>
        </w:rPr>
        <w:t>0 (</w:t>
      </w:r>
      <w:r w:rsidR="007F35FC" w:rsidRPr="007F35FC">
        <w:rPr>
          <w:sz w:val="24"/>
          <w:szCs w:val="24"/>
        </w:rPr>
        <w:t>десять</w:t>
      </w:r>
      <w:r w:rsidRPr="007F35FC">
        <w:rPr>
          <w:sz w:val="24"/>
          <w:szCs w:val="24"/>
        </w:rPr>
        <w:t xml:space="preserve">) лет на </w:t>
      </w:r>
      <w:proofErr w:type="gramStart"/>
      <w:r w:rsidRPr="007F35FC">
        <w:rPr>
          <w:sz w:val="24"/>
          <w:szCs w:val="24"/>
        </w:rPr>
        <w:t>земельный  участок</w:t>
      </w:r>
      <w:proofErr w:type="gramEnd"/>
      <w:r w:rsidRPr="007F35FC">
        <w:rPr>
          <w:sz w:val="24"/>
          <w:szCs w:val="24"/>
        </w:rPr>
        <w:t xml:space="preserve">, отнесенный к землям населенных пунктов, площадью </w:t>
      </w:r>
      <w:r w:rsidR="007F35FC" w:rsidRPr="007F35FC">
        <w:rPr>
          <w:sz w:val="24"/>
          <w:szCs w:val="24"/>
        </w:rPr>
        <w:t xml:space="preserve">2419,00 </w:t>
      </w:r>
      <w:proofErr w:type="spellStart"/>
      <w:r w:rsidR="007F35FC" w:rsidRPr="007F35FC">
        <w:rPr>
          <w:sz w:val="24"/>
          <w:szCs w:val="24"/>
        </w:rPr>
        <w:t>кв.м</w:t>
      </w:r>
      <w:proofErr w:type="spellEnd"/>
      <w:r w:rsidR="007F35FC" w:rsidRPr="007F35FC">
        <w:rPr>
          <w:sz w:val="24"/>
          <w:szCs w:val="24"/>
        </w:rPr>
        <w:t>., для складов, с кадастровым номером 63:03:0402002:617</w:t>
      </w:r>
      <w:r w:rsidR="007F35FC">
        <w:rPr>
          <w:sz w:val="24"/>
          <w:szCs w:val="24"/>
        </w:rPr>
        <w:t>, расположенный</w:t>
      </w:r>
      <w:r w:rsidR="007F35FC" w:rsidRPr="007F35FC">
        <w:rPr>
          <w:sz w:val="24"/>
          <w:szCs w:val="24"/>
        </w:rPr>
        <w:t xml:space="preserve"> по адресу: </w:t>
      </w:r>
      <w:r w:rsidR="007F35FC" w:rsidRPr="007F35FC">
        <w:rPr>
          <w:b/>
          <w:sz w:val="24"/>
          <w:szCs w:val="24"/>
        </w:rPr>
        <w:t xml:space="preserve">Самарская область, </w:t>
      </w:r>
      <w:proofErr w:type="spellStart"/>
      <w:r w:rsidR="007F35FC" w:rsidRPr="007F35FC">
        <w:rPr>
          <w:b/>
          <w:sz w:val="24"/>
          <w:szCs w:val="24"/>
        </w:rPr>
        <w:t>г.о.Кинель</w:t>
      </w:r>
      <w:proofErr w:type="spellEnd"/>
      <w:r w:rsidR="007F35FC" w:rsidRPr="007F35FC">
        <w:rPr>
          <w:b/>
          <w:sz w:val="24"/>
          <w:szCs w:val="24"/>
        </w:rPr>
        <w:t xml:space="preserve">, </w:t>
      </w:r>
      <w:proofErr w:type="spellStart"/>
      <w:r w:rsidR="007F35FC" w:rsidRPr="007F35FC">
        <w:rPr>
          <w:b/>
          <w:sz w:val="24"/>
          <w:szCs w:val="24"/>
        </w:rPr>
        <w:t>пгт.Алексеевка</w:t>
      </w:r>
      <w:proofErr w:type="spellEnd"/>
      <w:r w:rsidR="007F35FC" w:rsidRPr="007F35FC">
        <w:rPr>
          <w:b/>
          <w:sz w:val="24"/>
          <w:szCs w:val="24"/>
        </w:rPr>
        <w:t xml:space="preserve">, </w:t>
      </w:r>
      <w:proofErr w:type="spellStart"/>
      <w:r w:rsidR="007F35FC" w:rsidRPr="007F35FC">
        <w:rPr>
          <w:b/>
          <w:sz w:val="24"/>
          <w:szCs w:val="24"/>
        </w:rPr>
        <w:t>ул.Силикатная</w:t>
      </w:r>
      <w:proofErr w:type="spellEnd"/>
      <w:r w:rsidR="007F35FC" w:rsidRPr="007F35FC">
        <w:rPr>
          <w:b/>
          <w:sz w:val="24"/>
          <w:szCs w:val="24"/>
        </w:rPr>
        <w:t>, уч.4Г</w:t>
      </w:r>
      <w:r w:rsidRPr="007F35FC">
        <w:rPr>
          <w:sz w:val="24"/>
          <w:szCs w:val="24"/>
        </w:rPr>
        <w:t xml:space="preserve">, начальная цена ежегодной арендной платы составляет </w:t>
      </w:r>
      <w:r w:rsidR="007F35FC" w:rsidRPr="007F35FC">
        <w:rPr>
          <w:sz w:val="24"/>
          <w:szCs w:val="24"/>
        </w:rPr>
        <w:t>290</w:t>
      </w:r>
      <w:r w:rsidR="007F35FC">
        <w:rPr>
          <w:sz w:val="24"/>
          <w:szCs w:val="24"/>
        </w:rPr>
        <w:t xml:space="preserve"> </w:t>
      </w:r>
      <w:r w:rsidR="007F35FC" w:rsidRPr="007F35FC">
        <w:rPr>
          <w:sz w:val="24"/>
          <w:szCs w:val="24"/>
        </w:rPr>
        <w:t>000</w:t>
      </w:r>
      <w:r w:rsidRPr="007F35FC">
        <w:rPr>
          <w:sz w:val="24"/>
          <w:szCs w:val="24"/>
        </w:rPr>
        <w:t xml:space="preserve">   руб., шаг </w:t>
      </w:r>
      <w:r w:rsidR="007F35FC" w:rsidRPr="007F35FC">
        <w:rPr>
          <w:sz w:val="24"/>
          <w:szCs w:val="24"/>
        </w:rPr>
        <w:t>8700</w:t>
      </w:r>
      <w:r w:rsidRPr="007F35FC">
        <w:rPr>
          <w:sz w:val="24"/>
          <w:szCs w:val="24"/>
        </w:rPr>
        <w:t xml:space="preserve"> руб., задаток </w:t>
      </w:r>
      <w:r w:rsidR="007F35FC" w:rsidRPr="007F35FC">
        <w:rPr>
          <w:sz w:val="24"/>
          <w:szCs w:val="24"/>
        </w:rPr>
        <w:t>58</w:t>
      </w:r>
      <w:r w:rsidR="007F35FC">
        <w:rPr>
          <w:sz w:val="24"/>
          <w:szCs w:val="24"/>
        </w:rPr>
        <w:t xml:space="preserve"> </w:t>
      </w:r>
      <w:r w:rsidR="007F35FC" w:rsidRPr="007F35FC">
        <w:rPr>
          <w:sz w:val="24"/>
          <w:szCs w:val="24"/>
        </w:rPr>
        <w:t>000</w:t>
      </w:r>
      <w:r w:rsidRPr="007F35FC">
        <w:rPr>
          <w:sz w:val="24"/>
          <w:szCs w:val="24"/>
        </w:rPr>
        <w:t xml:space="preserve"> руб.  </w:t>
      </w:r>
    </w:p>
    <w:p w:rsidR="004322D3" w:rsidRPr="00092B1E" w:rsidRDefault="004322D3" w:rsidP="004322D3">
      <w:pPr>
        <w:ind w:firstLine="631"/>
        <w:rPr>
          <w:i/>
          <w:sz w:val="24"/>
          <w:szCs w:val="24"/>
        </w:rPr>
      </w:pPr>
      <w:r w:rsidRPr="00092B1E">
        <w:rPr>
          <w:i/>
          <w:sz w:val="24"/>
          <w:szCs w:val="24"/>
        </w:rPr>
        <w:t xml:space="preserve">Обременения (ограничения) использования земельного участка: </w:t>
      </w:r>
      <w:r w:rsidR="00092B1E" w:rsidRPr="00092B1E">
        <w:rPr>
          <w:i/>
          <w:sz w:val="24"/>
          <w:szCs w:val="24"/>
        </w:rPr>
        <w:t>охранная зона ЛЭП 10кВ площадью 1165,</w:t>
      </w:r>
      <w:proofErr w:type="gramStart"/>
      <w:r w:rsidR="00092B1E" w:rsidRPr="00092B1E">
        <w:rPr>
          <w:i/>
          <w:sz w:val="24"/>
          <w:szCs w:val="24"/>
        </w:rPr>
        <w:t xml:space="preserve">00  </w:t>
      </w:r>
      <w:proofErr w:type="spellStart"/>
      <w:r w:rsidR="00092B1E" w:rsidRPr="00092B1E">
        <w:rPr>
          <w:i/>
          <w:sz w:val="24"/>
          <w:szCs w:val="24"/>
        </w:rPr>
        <w:t>кв.м</w:t>
      </w:r>
      <w:proofErr w:type="spellEnd"/>
      <w:r w:rsidR="00092B1E" w:rsidRPr="00092B1E">
        <w:rPr>
          <w:i/>
          <w:sz w:val="24"/>
          <w:szCs w:val="24"/>
        </w:rPr>
        <w:t>.</w:t>
      </w:r>
      <w:proofErr w:type="gramEnd"/>
    </w:p>
    <w:p w:rsidR="004322D3" w:rsidRPr="003F4384" w:rsidRDefault="004322D3" w:rsidP="004322D3">
      <w:pPr>
        <w:ind w:firstLine="631"/>
        <w:rPr>
          <w:sz w:val="24"/>
          <w:szCs w:val="24"/>
        </w:rPr>
      </w:pPr>
      <w:r w:rsidRPr="003F4384">
        <w:rPr>
          <w:sz w:val="24"/>
          <w:szCs w:val="24"/>
        </w:rPr>
        <w:t>Информация о правах на земельный участок: земельный участок относится к землям государственная собственность на который не разграничена.</w:t>
      </w:r>
    </w:p>
    <w:p w:rsidR="00092B1E" w:rsidRDefault="00092B1E" w:rsidP="004E702D">
      <w:pPr>
        <w:rPr>
          <w:b/>
          <w:sz w:val="22"/>
        </w:rPr>
      </w:pPr>
    </w:p>
    <w:p w:rsidR="004E702D" w:rsidRPr="004E702D" w:rsidRDefault="00092B1E" w:rsidP="004E702D">
      <w:pPr>
        <w:rPr>
          <w:b/>
          <w:sz w:val="22"/>
        </w:rPr>
      </w:pPr>
      <w:r>
        <w:rPr>
          <w:b/>
          <w:sz w:val="22"/>
        </w:rPr>
        <w:t>ЛОТ №1</w:t>
      </w: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560"/>
        <w:gridCol w:w="7280"/>
        <w:gridCol w:w="1658"/>
      </w:tblGrid>
      <w:tr w:rsidR="004E702D" w:rsidRPr="00C1503A" w:rsidTr="004E702D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02D" w:rsidRPr="00C1503A" w:rsidRDefault="004E702D" w:rsidP="00A96C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16"/>
                <w:lang w:eastAsia="ru-RU" w:bidi="hi-IN"/>
              </w:rPr>
            </w:pPr>
            <w:r w:rsidRPr="00C1503A">
              <w:rPr>
                <w:b/>
                <w:sz w:val="22"/>
                <w:szCs w:val="16"/>
                <w:lang w:eastAsia="ru-RU" w:bidi="hi-IN"/>
              </w:rPr>
              <w:t>Предельные параметры строительства, реконструкции объектов капитального строительства в территориальной зоне П1-1</w:t>
            </w:r>
          </w:p>
        </w:tc>
      </w:tr>
      <w:tr w:rsidR="004E702D" w:rsidRPr="00C1503A" w:rsidTr="004E702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02D" w:rsidRPr="006F6D8E" w:rsidRDefault="004E702D" w:rsidP="00A96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/>
                <w:bCs/>
                <w:sz w:val="24"/>
                <w:szCs w:val="18"/>
                <w:lang w:val="en-US" w:eastAsia="ru-RU" w:bidi="hi-IN"/>
              </w:rPr>
            </w:pPr>
            <w:r w:rsidRPr="006F6D8E">
              <w:rPr>
                <w:b/>
                <w:sz w:val="24"/>
                <w:szCs w:val="18"/>
                <w:lang w:val="en-US" w:eastAsia="ru-RU" w:bidi="hi-IN"/>
              </w:rPr>
              <w:t>№ п/п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02D" w:rsidRPr="00C1503A" w:rsidRDefault="004E702D" w:rsidP="00A96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/>
                <w:bCs/>
                <w:sz w:val="22"/>
                <w:szCs w:val="16"/>
                <w:lang w:val="en-US" w:eastAsia="ru-RU" w:bidi="hi-IN"/>
              </w:rPr>
            </w:pPr>
            <w:proofErr w:type="spellStart"/>
            <w:r w:rsidRPr="00C1503A">
              <w:rPr>
                <w:b/>
                <w:sz w:val="22"/>
                <w:szCs w:val="16"/>
                <w:lang w:val="en-US" w:eastAsia="ru-RU" w:bidi="hi-IN"/>
              </w:rPr>
              <w:t>Наименование</w:t>
            </w:r>
            <w:proofErr w:type="spellEnd"/>
            <w:r w:rsidRPr="00C1503A">
              <w:rPr>
                <w:b/>
                <w:sz w:val="22"/>
                <w:szCs w:val="16"/>
                <w:lang w:val="en-US" w:eastAsia="ru-RU" w:bidi="hi-IN"/>
              </w:rPr>
              <w:t xml:space="preserve"> </w:t>
            </w:r>
            <w:proofErr w:type="spellStart"/>
            <w:r w:rsidRPr="00C1503A">
              <w:rPr>
                <w:b/>
                <w:sz w:val="22"/>
                <w:szCs w:val="16"/>
                <w:lang w:val="en-US" w:eastAsia="ru-RU" w:bidi="hi-IN"/>
              </w:rPr>
              <w:t>параметра</w:t>
            </w:r>
            <w:proofErr w:type="spellEnd"/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02D" w:rsidRPr="00C1503A" w:rsidRDefault="004E702D" w:rsidP="004E702D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MS MinNew Roman"/>
                <w:b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b/>
                <w:sz w:val="22"/>
                <w:szCs w:val="16"/>
                <w:lang w:eastAsia="ru-RU" w:bidi="hi-IN"/>
              </w:rPr>
              <w:t xml:space="preserve">Значение </w:t>
            </w:r>
          </w:p>
        </w:tc>
      </w:tr>
      <w:tr w:rsidR="004E702D" w:rsidRPr="00C1503A" w:rsidTr="004E702D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2D" w:rsidRPr="00D000CA" w:rsidRDefault="004E702D" w:rsidP="00A96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D000CA">
              <w:rPr>
                <w:sz w:val="22"/>
                <w:szCs w:val="16"/>
                <w:lang w:eastAsia="ru-RU" w:bidi="hi-IN"/>
              </w:rPr>
              <w:t>Предельное количество этажей или предельная высота зданий, строений, сооружений</w:t>
            </w:r>
          </w:p>
        </w:tc>
      </w:tr>
      <w:tr w:rsidR="004E702D" w:rsidRPr="00C1503A" w:rsidTr="004E702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2D" w:rsidRPr="00D000CA" w:rsidRDefault="004E702D" w:rsidP="004E70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02D" w:rsidRPr="00C1503A" w:rsidRDefault="004E702D" w:rsidP="00A96C77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Предельная высота зданий, строений, сооружений, 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02D" w:rsidRPr="00C1503A" w:rsidRDefault="004E702D" w:rsidP="00A96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30</w:t>
            </w:r>
          </w:p>
        </w:tc>
      </w:tr>
      <w:tr w:rsidR="004E702D" w:rsidRPr="00C1503A" w:rsidTr="004E702D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2D" w:rsidRPr="00D000CA" w:rsidRDefault="004E702D" w:rsidP="00A96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D000CA">
              <w:rPr>
                <w:sz w:val="22"/>
                <w:szCs w:val="16"/>
                <w:lang w:eastAsia="ru-RU" w:bidi="hi-IN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</w:tr>
      <w:tr w:rsidR="004E702D" w:rsidRPr="00C1503A" w:rsidTr="004E702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2D" w:rsidRPr="00D000CA" w:rsidRDefault="004E702D" w:rsidP="004E70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02D" w:rsidRPr="00C1503A" w:rsidRDefault="004E702D" w:rsidP="00A96C77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Минимальный отступ от границ земельных участков до зданий, строений, сооружений, 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02D" w:rsidRPr="00C1503A" w:rsidRDefault="004E702D" w:rsidP="00A96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1</w:t>
            </w:r>
          </w:p>
        </w:tc>
      </w:tr>
      <w:tr w:rsidR="004E702D" w:rsidRPr="00C1503A" w:rsidTr="004E702D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2D" w:rsidRPr="00D000CA" w:rsidRDefault="004E702D" w:rsidP="00A96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D000CA">
              <w:rPr>
                <w:sz w:val="22"/>
                <w:szCs w:val="16"/>
                <w:lang w:eastAsia="ru-RU" w:bidi="hi-IN"/>
              </w:rPr>
      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</w:tr>
      <w:tr w:rsidR="004E702D" w:rsidRPr="00C1503A" w:rsidTr="004E702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2D" w:rsidRPr="00D000CA" w:rsidRDefault="004E702D" w:rsidP="004E70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02D" w:rsidRPr="00C1503A" w:rsidRDefault="004E702D" w:rsidP="00A96C77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Максимальный процент застройки в границах земельного участка при размещении производственных и сельскохозяйственных объектов, %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02D" w:rsidRPr="00C1503A" w:rsidRDefault="004E702D" w:rsidP="00A96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80</w:t>
            </w:r>
          </w:p>
        </w:tc>
      </w:tr>
      <w:tr w:rsidR="004E702D" w:rsidRPr="00C1503A" w:rsidTr="004E702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2D" w:rsidRPr="00D000CA" w:rsidRDefault="004E702D" w:rsidP="004E70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02D" w:rsidRPr="00C1503A" w:rsidRDefault="004E702D" w:rsidP="00A96C77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Максимальный процент застройки в границах земельного участка при размещении коммунально-складских объектов, %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02D" w:rsidRPr="00C1503A" w:rsidRDefault="004E702D" w:rsidP="00A96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80</w:t>
            </w:r>
          </w:p>
        </w:tc>
      </w:tr>
      <w:tr w:rsidR="004E702D" w:rsidRPr="00C1503A" w:rsidTr="004E702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2D" w:rsidRPr="006F6D8E" w:rsidRDefault="004E702D" w:rsidP="004E70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MS MinNew Roman"/>
                <w:bCs/>
                <w:sz w:val="24"/>
                <w:szCs w:val="18"/>
                <w:lang w:val="en-US" w:eastAsia="ru-RU" w:bidi="hi-IN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02D" w:rsidRPr="00C1503A" w:rsidRDefault="004E702D" w:rsidP="00A96C77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Максимальный процент застройки в границах земельного участка при размещении научно-производственных объектов, %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02D" w:rsidRPr="00C1503A" w:rsidRDefault="004E702D" w:rsidP="00A96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-</w:t>
            </w:r>
          </w:p>
        </w:tc>
      </w:tr>
      <w:tr w:rsidR="004E702D" w:rsidRPr="00C1503A" w:rsidTr="004E702D"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2D" w:rsidRPr="00C1503A" w:rsidRDefault="004E702D" w:rsidP="00A96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proofErr w:type="spellStart"/>
            <w:r w:rsidRPr="00C1503A">
              <w:rPr>
                <w:sz w:val="22"/>
                <w:szCs w:val="16"/>
                <w:lang w:val="en-US" w:eastAsia="ru-RU" w:bidi="hi-IN"/>
              </w:rPr>
              <w:t>Иные</w:t>
            </w:r>
            <w:proofErr w:type="spellEnd"/>
            <w:r w:rsidRPr="00C1503A">
              <w:rPr>
                <w:sz w:val="22"/>
                <w:szCs w:val="16"/>
                <w:lang w:val="en-US" w:eastAsia="ru-RU" w:bidi="hi-IN"/>
              </w:rPr>
              <w:t xml:space="preserve"> </w:t>
            </w:r>
            <w:proofErr w:type="spellStart"/>
            <w:r w:rsidRPr="00C1503A">
              <w:rPr>
                <w:sz w:val="22"/>
                <w:szCs w:val="16"/>
                <w:lang w:val="en-US" w:eastAsia="ru-RU" w:bidi="hi-IN"/>
              </w:rPr>
              <w:t>показатели</w:t>
            </w:r>
            <w:proofErr w:type="spellEnd"/>
          </w:p>
        </w:tc>
      </w:tr>
      <w:tr w:rsidR="004E702D" w:rsidRPr="00C1503A" w:rsidTr="004E702D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2D" w:rsidRPr="006F6D8E" w:rsidRDefault="004E702D" w:rsidP="004E702D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jc w:val="center"/>
              <w:rPr>
                <w:rFonts w:eastAsia="MS MinNew Roman"/>
                <w:bCs/>
                <w:sz w:val="24"/>
                <w:szCs w:val="18"/>
                <w:lang w:val="en-US" w:eastAsia="ru-RU" w:bidi="hi-IN"/>
              </w:rPr>
            </w:pP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02D" w:rsidRPr="00C1503A" w:rsidRDefault="004E702D" w:rsidP="00A96C77">
            <w:pPr>
              <w:widowControl w:val="0"/>
              <w:autoSpaceDE w:val="0"/>
              <w:autoSpaceDN w:val="0"/>
              <w:adjustRightInd w:val="0"/>
              <w:rPr>
                <w:rFonts w:eastAsia="MS MinNew Roman"/>
                <w:bCs/>
                <w:sz w:val="22"/>
                <w:szCs w:val="16"/>
                <w:lang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eastAsia="ru-RU" w:bidi="hi-IN"/>
              </w:rPr>
              <w:t>Максимальная высота капитальных ограждений земельных участков, м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02D" w:rsidRPr="00C1503A" w:rsidRDefault="004E702D" w:rsidP="00A96C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</w:pPr>
            <w:r w:rsidRPr="00C1503A">
              <w:rPr>
                <w:rFonts w:eastAsia="MS MinNew Roman"/>
                <w:bCs/>
                <w:sz w:val="22"/>
                <w:szCs w:val="16"/>
                <w:lang w:val="en-US" w:eastAsia="ru-RU" w:bidi="hi-IN"/>
              </w:rPr>
              <w:t>2</w:t>
            </w:r>
          </w:p>
        </w:tc>
      </w:tr>
    </w:tbl>
    <w:p w:rsidR="004E702D" w:rsidRPr="004E702D" w:rsidRDefault="004E702D" w:rsidP="004E702D">
      <w:pPr>
        <w:rPr>
          <w:b/>
          <w:sz w:val="22"/>
        </w:rPr>
      </w:pP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Технические условия подключения объекта к сетям инженерно-технического обеспечения:  </w:t>
      </w:r>
    </w:p>
    <w:p w:rsidR="004E702D" w:rsidRPr="004E702D" w:rsidRDefault="004E702D" w:rsidP="004E702D">
      <w:pPr>
        <w:rPr>
          <w:b/>
          <w:sz w:val="22"/>
        </w:rPr>
      </w:pPr>
      <w:r w:rsidRPr="004E702D">
        <w:rPr>
          <w:b/>
          <w:sz w:val="22"/>
        </w:rPr>
        <w:lastRenderedPageBreak/>
        <w:t>По газоснабжению: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Лот</w:t>
      </w:r>
      <w:r w:rsidR="00554AEE">
        <w:rPr>
          <w:bCs/>
          <w:sz w:val="22"/>
        </w:rPr>
        <w:t xml:space="preserve"> №1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1. Максимальный часовой расход газа: до </w:t>
      </w:r>
      <w:r w:rsidR="00554AEE">
        <w:rPr>
          <w:bCs/>
          <w:sz w:val="22"/>
        </w:rPr>
        <w:t>1</w:t>
      </w:r>
      <w:r w:rsidRPr="004E702D">
        <w:rPr>
          <w:bCs/>
          <w:sz w:val="22"/>
        </w:rPr>
        <w:t>5 м</w:t>
      </w:r>
      <w:proofErr w:type="gramStart"/>
      <w:r w:rsidRPr="004E702D">
        <w:rPr>
          <w:bCs/>
          <w:sz w:val="22"/>
        </w:rPr>
        <w:t>3 ;</w:t>
      </w:r>
      <w:proofErr w:type="gramEnd"/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2. Стоимость платы за технологическое присоединение – </w:t>
      </w:r>
      <w:r w:rsidR="00554AEE">
        <w:rPr>
          <w:bCs/>
          <w:sz w:val="22"/>
        </w:rPr>
        <w:t>56,834</w:t>
      </w:r>
      <w:r w:rsidRPr="004E702D">
        <w:rPr>
          <w:bCs/>
          <w:sz w:val="22"/>
        </w:rPr>
        <w:t xml:space="preserve"> тыс. руб.;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3. Срок подключения объекта к газораспределительной сети: от одного года до четырех лет в зависимости от условий договора на подключение;</w:t>
      </w:r>
    </w:p>
    <w:p w:rsid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4. Срок действия – 3 года.</w:t>
      </w:r>
    </w:p>
    <w:p w:rsidR="004E702D" w:rsidRPr="004E702D" w:rsidRDefault="004E702D" w:rsidP="004E702D">
      <w:pPr>
        <w:rPr>
          <w:bCs/>
          <w:sz w:val="22"/>
        </w:rPr>
      </w:pPr>
    </w:p>
    <w:p w:rsidR="004E702D" w:rsidRPr="004E702D" w:rsidRDefault="004E702D" w:rsidP="004E702D">
      <w:pPr>
        <w:rPr>
          <w:b/>
          <w:sz w:val="22"/>
        </w:rPr>
      </w:pPr>
      <w:r w:rsidRPr="004E702D">
        <w:rPr>
          <w:b/>
          <w:sz w:val="22"/>
        </w:rPr>
        <w:t>По электроснабжению: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Лот №1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Технологическое присоединение к электрическим сетям ЗАО «Самарская сетевая компания» возможно. 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Технические условия на подключение к электрическим сетям будут выданы заказчику строительства на основании договора технологического присоединения в соответствии с  утвержденными Постановлением Правительства РФ от 27.12.2004 г. №861 Правилами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 после подачи заявки установленного образца на технологическое присоединение в адрес ЗАО «Самарская сетевая компания».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1. В соответствии с Приказом Министерства энергетики и жилищно-коммунального хозяйства Самарской области от 21.12.2010 г. №77 размер платы за технологическое присоединение к электрическим сетям территориальных сетевых организаций Самарской области для заявителей, подающих заявку на технологическое присоединение с присоединенной мощностью, не превышающей 15 кВт включительно, при условии, что расстояние от границ участка заявителя до объектов электросетевого хозяйства, необходимого заявителю класса напряжения сетевой организации, в которую подана заявка, составляет не более 300 метров в городах и поселках городского типа и не более 500 метров в сельской местности и составляет 550 рублей.   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2. В соответствии с Приказом Министерства энергетики и жилищно-коммунального хозяйства Самарской области от 27.12.2018 г. №990 размер платы за технологическое присоединение к электрическим сетям АО «Самарская сетевая компания» для заявителей с присоединяемой мощностью более 15 кВт, и для заявителей, подающим заявку на технологическое присоединение энергопринимающих устройств максимальной присоединяемой мощностью,  не превышающей 15 кВт включительно (с учетом ранее присоединенной в данной точке присоединения мощности), в случае если расстояние от границ участка заявителя до объектов электросетевого хозяйства необходимого заявителю класса напряжения сетевой организации,  в которую подана заявка,    составляет более 300 м в городах и поселках городского типа и более 500 м в сельской местности, взымается в соответствии с утвержденными стандартизированными тарифными ставками, ставками за единицу максимальной мощности.</w:t>
      </w:r>
    </w:p>
    <w:p w:rsidR="004E702D" w:rsidRPr="004E702D" w:rsidRDefault="004E702D" w:rsidP="004E702D">
      <w:pPr>
        <w:rPr>
          <w:b/>
          <w:sz w:val="22"/>
        </w:rPr>
      </w:pPr>
      <w:r w:rsidRPr="004E702D">
        <w:rPr>
          <w:b/>
          <w:sz w:val="22"/>
        </w:rPr>
        <w:t>Водопровод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Лот №1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 xml:space="preserve">1. Точку подключения определить проектом от </w:t>
      </w:r>
      <w:r w:rsidR="00554AEE">
        <w:rPr>
          <w:bCs/>
          <w:sz w:val="22"/>
        </w:rPr>
        <w:t>существующего</w:t>
      </w:r>
      <w:r w:rsidRPr="004E702D">
        <w:rPr>
          <w:bCs/>
          <w:sz w:val="22"/>
        </w:rPr>
        <w:t xml:space="preserve"> центрального водопровода </w:t>
      </w:r>
      <w:r w:rsidR="00554AEE">
        <w:rPr>
          <w:bCs/>
          <w:sz w:val="22"/>
        </w:rPr>
        <w:t>в районе испрашиваемого участка.</w:t>
      </w:r>
    </w:p>
    <w:p w:rsidR="004E702D" w:rsidRPr="004E702D" w:rsidRDefault="00554AEE" w:rsidP="004E702D">
      <w:pPr>
        <w:rPr>
          <w:bCs/>
          <w:sz w:val="22"/>
        </w:rPr>
      </w:pPr>
      <w:r>
        <w:rPr>
          <w:bCs/>
          <w:sz w:val="22"/>
        </w:rPr>
        <w:t>2</w:t>
      </w:r>
      <w:r w:rsidR="004E702D" w:rsidRPr="004E702D">
        <w:rPr>
          <w:bCs/>
          <w:sz w:val="22"/>
        </w:rPr>
        <w:t xml:space="preserve">.Водопровод в здание проложить полиэтиленовой </w:t>
      </w:r>
      <w:proofErr w:type="gramStart"/>
      <w:r w:rsidR="004E702D" w:rsidRPr="004E702D">
        <w:rPr>
          <w:bCs/>
          <w:sz w:val="22"/>
        </w:rPr>
        <w:t xml:space="preserve">трубой, </w:t>
      </w:r>
      <w:r>
        <w:rPr>
          <w:bCs/>
          <w:sz w:val="22"/>
        </w:rPr>
        <w:t xml:space="preserve"> диаметр</w:t>
      </w:r>
      <w:proofErr w:type="gramEnd"/>
      <w:r>
        <w:rPr>
          <w:bCs/>
          <w:sz w:val="22"/>
        </w:rPr>
        <w:t xml:space="preserve"> в соответствии с расчетной проектной нагрузкой</w:t>
      </w:r>
      <w:r w:rsidR="004E702D" w:rsidRPr="004E702D">
        <w:rPr>
          <w:bCs/>
          <w:sz w:val="22"/>
        </w:rPr>
        <w:t>.</w:t>
      </w:r>
    </w:p>
    <w:p w:rsidR="004E702D" w:rsidRPr="004E702D" w:rsidRDefault="00554AEE" w:rsidP="004E702D">
      <w:pPr>
        <w:rPr>
          <w:bCs/>
          <w:sz w:val="22"/>
        </w:rPr>
      </w:pPr>
      <w:r>
        <w:rPr>
          <w:bCs/>
          <w:sz w:val="22"/>
        </w:rPr>
        <w:t>3</w:t>
      </w:r>
      <w:r w:rsidR="004E702D" w:rsidRPr="004E702D">
        <w:rPr>
          <w:bCs/>
          <w:sz w:val="22"/>
        </w:rPr>
        <w:t>.На месте врезки предусмотреть колодец диаметром 1</w:t>
      </w:r>
      <w:r>
        <w:rPr>
          <w:bCs/>
          <w:sz w:val="22"/>
        </w:rPr>
        <w:t>,5</w:t>
      </w:r>
      <w:r w:rsidR="004E702D" w:rsidRPr="004E702D">
        <w:rPr>
          <w:bCs/>
          <w:sz w:val="22"/>
        </w:rPr>
        <w:t>м из ж/б колец.</w:t>
      </w:r>
    </w:p>
    <w:p w:rsidR="004E702D" w:rsidRPr="004E702D" w:rsidRDefault="00554AEE" w:rsidP="004E702D">
      <w:pPr>
        <w:rPr>
          <w:bCs/>
          <w:sz w:val="22"/>
        </w:rPr>
      </w:pPr>
      <w:r>
        <w:rPr>
          <w:bCs/>
          <w:sz w:val="22"/>
        </w:rPr>
        <w:t>4</w:t>
      </w:r>
      <w:r w:rsidR="004E702D" w:rsidRPr="004E702D">
        <w:rPr>
          <w:bCs/>
          <w:sz w:val="22"/>
        </w:rPr>
        <w:t>.Произвести гидроизоляцию колодца.</w:t>
      </w:r>
    </w:p>
    <w:p w:rsidR="004E702D" w:rsidRPr="004E702D" w:rsidRDefault="00554AEE" w:rsidP="004E702D">
      <w:pPr>
        <w:rPr>
          <w:bCs/>
          <w:sz w:val="22"/>
        </w:rPr>
      </w:pPr>
      <w:r>
        <w:rPr>
          <w:bCs/>
          <w:sz w:val="22"/>
        </w:rPr>
        <w:t>5</w:t>
      </w:r>
      <w:r w:rsidR="004E702D" w:rsidRPr="004E702D">
        <w:rPr>
          <w:bCs/>
          <w:sz w:val="22"/>
        </w:rPr>
        <w:t>.В колодце разместить водомерный узел.</w:t>
      </w:r>
    </w:p>
    <w:p w:rsidR="004E702D" w:rsidRDefault="00554AEE" w:rsidP="004E702D">
      <w:pPr>
        <w:rPr>
          <w:bCs/>
          <w:sz w:val="22"/>
        </w:rPr>
      </w:pPr>
      <w:r>
        <w:rPr>
          <w:bCs/>
          <w:sz w:val="22"/>
        </w:rPr>
        <w:t>6</w:t>
      </w:r>
      <w:r w:rsidR="004E702D" w:rsidRPr="004E702D">
        <w:rPr>
          <w:bCs/>
          <w:sz w:val="22"/>
        </w:rPr>
        <w:t>.Врезка в существующие сети производится силами ООО «</w:t>
      </w:r>
      <w:proofErr w:type="spellStart"/>
      <w:r w:rsidR="004E702D" w:rsidRPr="004E702D">
        <w:rPr>
          <w:bCs/>
          <w:sz w:val="22"/>
        </w:rPr>
        <w:t>Кинельская</w:t>
      </w:r>
      <w:proofErr w:type="spellEnd"/>
      <w:r w:rsidR="004E702D" w:rsidRPr="004E702D">
        <w:rPr>
          <w:bCs/>
          <w:sz w:val="22"/>
        </w:rPr>
        <w:t xml:space="preserve"> ТЭК».</w:t>
      </w:r>
    </w:p>
    <w:p w:rsidR="00554AEE" w:rsidRPr="004E702D" w:rsidRDefault="00554AEE" w:rsidP="004E702D">
      <w:pPr>
        <w:rPr>
          <w:bCs/>
          <w:sz w:val="22"/>
        </w:rPr>
      </w:pPr>
      <w:r>
        <w:rPr>
          <w:bCs/>
          <w:sz w:val="22"/>
        </w:rPr>
        <w:t>7.Стоимость подключения будет определена после подготовки застройщиком проекта водоснабжения.</w:t>
      </w:r>
    </w:p>
    <w:p w:rsidR="004E702D" w:rsidRPr="004E702D" w:rsidRDefault="004E702D" w:rsidP="004E702D">
      <w:pPr>
        <w:rPr>
          <w:b/>
          <w:sz w:val="22"/>
        </w:rPr>
      </w:pPr>
      <w:r w:rsidRPr="004E702D">
        <w:rPr>
          <w:b/>
          <w:sz w:val="22"/>
        </w:rPr>
        <w:t>Канализация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Лот №1</w:t>
      </w:r>
    </w:p>
    <w:p w:rsidR="004E702D" w:rsidRPr="004E702D" w:rsidRDefault="004E702D" w:rsidP="004E702D">
      <w:pPr>
        <w:rPr>
          <w:bCs/>
          <w:sz w:val="22"/>
        </w:rPr>
      </w:pPr>
      <w:r w:rsidRPr="004E702D">
        <w:rPr>
          <w:bCs/>
          <w:sz w:val="22"/>
        </w:rPr>
        <w:t>1. Канализационные сети в данном районе отсутствуют, для подключения данного участка к канализации необходимо определять мероприятия по развитию канализационной сети и включать их в инвестиционную программу.</w:t>
      </w:r>
    </w:p>
    <w:p w:rsidR="00C1503A" w:rsidRPr="000D4DEB" w:rsidRDefault="00C1503A" w:rsidP="00C1503A">
      <w:pPr>
        <w:rPr>
          <w:b/>
          <w:sz w:val="22"/>
        </w:rPr>
      </w:pPr>
      <w:r>
        <w:rPr>
          <w:b/>
          <w:sz w:val="22"/>
        </w:rPr>
        <w:lastRenderedPageBreak/>
        <w:t xml:space="preserve">7. </w:t>
      </w:r>
      <w:r w:rsidRPr="000D4DEB">
        <w:rPr>
          <w:b/>
          <w:sz w:val="22"/>
        </w:rPr>
        <w:t>Порядок подготовки и заполнения заявки на участие в аукционе, порядок ее приема</w:t>
      </w:r>
      <w:r>
        <w:rPr>
          <w:b/>
          <w:sz w:val="22"/>
        </w:rPr>
        <w:t>. Рассмотрение заявок.</w:t>
      </w:r>
      <w:r w:rsidRPr="000D4DEB">
        <w:rPr>
          <w:b/>
          <w:sz w:val="22"/>
        </w:rPr>
        <w:t xml:space="preserve"> 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Для участия в аукционе заявители представляют организатору торгов в установленный в извещении о проведении аукциона срок следующие документы: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2) копии документов, удостоверяющих личность заявителя (для граждан);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4) документы, подтверждающие внесение задатка.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 xml:space="preserve">5)от имени Заявителя может действовать иное уполномоченное лицо. При этом на уполномоченное лицо должна быть надлежащим образом оформлена доверенность (оригинал). Копия указанной доверенности, в случае подачи заявки уполномоченным лицом, включается в комплект заявки на участие в торгах </w:t>
      </w:r>
      <w:r w:rsidRPr="00BE25CC">
        <w:rPr>
          <w:sz w:val="22"/>
        </w:rPr>
        <w:t>с приложением копии общегражданского паспорта РФ.</w:t>
      </w:r>
      <w:r w:rsidRPr="000D4DEB">
        <w:rPr>
          <w:sz w:val="22"/>
        </w:rPr>
        <w:t xml:space="preserve"> Доверенность на право участия в аукционе от имени Заявителя оформляется на бланке организации Заявителя, за подписью уполномоченного исполнительного органа, скрепленной печатью организации Заявителя (для юридических лиц в случае наличия), либо оформляется нотариально (для физических лиц).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Один заявитель вправе подать только одну заявку на участие в аукционе.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C1503A" w:rsidRPr="000D4DEB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r w:rsidRPr="000D4DEB">
        <w:rPr>
          <w:sz w:val="22"/>
        </w:rPr>
        <w:t xml:space="preserve">      </w:t>
      </w:r>
      <w:r w:rsidRPr="00772E4C">
        <w:rPr>
          <w:i/>
          <w:sz w:val="22"/>
        </w:rPr>
        <w:t>Заявитель не допускается</w:t>
      </w:r>
      <w:r w:rsidRPr="000D4DEB">
        <w:rPr>
          <w:sz w:val="22"/>
        </w:rPr>
        <w:t xml:space="preserve"> к участию в аукционе в следующих случаях: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0" w:name="sub_391281"/>
      <w:r w:rsidRPr="000D4DEB">
        <w:rPr>
          <w:sz w:val="22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1" w:name="sub_391282"/>
      <w:bookmarkEnd w:id="0"/>
      <w:r w:rsidRPr="000D4DEB">
        <w:rPr>
          <w:sz w:val="22"/>
        </w:rPr>
        <w:t xml:space="preserve">2) </w:t>
      </w:r>
      <w:proofErr w:type="spellStart"/>
      <w:r w:rsidRPr="000D4DEB">
        <w:rPr>
          <w:sz w:val="22"/>
        </w:rPr>
        <w:t>непоступление</w:t>
      </w:r>
      <w:proofErr w:type="spellEnd"/>
      <w:r w:rsidRPr="000D4DEB">
        <w:rPr>
          <w:sz w:val="22"/>
        </w:rPr>
        <w:t xml:space="preserve"> задатка на дату рассмотрения заявок на участие в аукционе;</w:t>
      </w:r>
    </w:p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bookmarkStart w:id="2" w:name="sub_391283"/>
      <w:bookmarkEnd w:id="1"/>
      <w:r w:rsidRPr="000D4DEB">
        <w:rPr>
          <w:sz w:val="22"/>
        </w:rPr>
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bookmarkEnd w:id="2"/>
    <w:p w:rsidR="00C1503A" w:rsidRPr="000D4DEB" w:rsidRDefault="00C1503A" w:rsidP="00C1503A">
      <w:pPr>
        <w:autoSpaceDE w:val="0"/>
        <w:autoSpaceDN w:val="0"/>
        <w:adjustRightInd w:val="0"/>
        <w:rPr>
          <w:sz w:val="22"/>
        </w:rPr>
      </w:pPr>
      <w:r w:rsidRPr="000D4DEB">
        <w:rPr>
          <w:sz w:val="22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</w:t>
      </w:r>
      <w:r>
        <w:rPr>
          <w:sz w:val="22"/>
        </w:rPr>
        <w:t xml:space="preserve"> </w:t>
      </w:r>
      <w:r w:rsidRPr="000D4DEB">
        <w:rPr>
          <w:sz w:val="22"/>
        </w:rPr>
        <w:t>заявителя, являющегося юридическим лицом, в предусмотренном настоящей статьей реестре недобросовестных участников аукциона.</w:t>
      </w:r>
    </w:p>
    <w:p w:rsidR="00C1503A" w:rsidRPr="000D4DEB" w:rsidRDefault="00C1503A" w:rsidP="00C1503A">
      <w:pPr>
        <w:rPr>
          <w:sz w:val="22"/>
        </w:rPr>
      </w:pPr>
      <w:r w:rsidRPr="000D4DEB">
        <w:rPr>
          <w:sz w:val="22"/>
        </w:rPr>
        <w:t>Прием заявок и ознакомление с пакетом документов по предмету торгов</w:t>
      </w:r>
      <w:r w:rsidRPr="000D4DEB">
        <w:rPr>
          <w:color w:val="525252"/>
          <w:sz w:val="22"/>
        </w:rPr>
        <w:t xml:space="preserve"> </w:t>
      </w:r>
      <w:r w:rsidRPr="000D4DEB">
        <w:rPr>
          <w:sz w:val="22"/>
        </w:rPr>
        <w:t xml:space="preserve">осуществляется по адресу: </w:t>
      </w:r>
      <w:proofErr w:type="spellStart"/>
      <w:r w:rsidRPr="000D4DEB">
        <w:rPr>
          <w:sz w:val="22"/>
        </w:rPr>
        <w:t>г.Кинель</w:t>
      </w:r>
      <w:proofErr w:type="spellEnd"/>
      <w:r w:rsidRPr="000D4DEB">
        <w:rPr>
          <w:sz w:val="22"/>
        </w:rPr>
        <w:t xml:space="preserve">, </w:t>
      </w:r>
      <w:proofErr w:type="spellStart"/>
      <w:r w:rsidRPr="000D4DEB">
        <w:rPr>
          <w:sz w:val="22"/>
        </w:rPr>
        <w:t>ул.Мира</w:t>
      </w:r>
      <w:proofErr w:type="spellEnd"/>
      <w:r w:rsidRPr="000D4DEB">
        <w:rPr>
          <w:sz w:val="22"/>
        </w:rPr>
        <w:t xml:space="preserve">, </w:t>
      </w:r>
      <w:proofErr w:type="gramStart"/>
      <w:r w:rsidRPr="000D4DEB">
        <w:rPr>
          <w:sz w:val="22"/>
        </w:rPr>
        <w:t>42</w:t>
      </w:r>
      <w:proofErr w:type="gramEnd"/>
      <w:r w:rsidRPr="000D4DEB">
        <w:rPr>
          <w:sz w:val="22"/>
        </w:rPr>
        <w:t xml:space="preserve"> а, комната 107 </w:t>
      </w:r>
      <w:r>
        <w:rPr>
          <w:b/>
          <w:sz w:val="22"/>
        </w:rPr>
        <w:t xml:space="preserve">начиная с 09.00 часов </w:t>
      </w:r>
      <w:r w:rsidR="00322A0B">
        <w:rPr>
          <w:b/>
          <w:sz w:val="22"/>
        </w:rPr>
        <w:t>31</w:t>
      </w:r>
      <w:r w:rsidR="00127A8A">
        <w:rPr>
          <w:b/>
          <w:sz w:val="22"/>
        </w:rPr>
        <w:t xml:space="preserve"> марта</w:t>
      </w:r>
      <w:r w:rsidR="0046690C" w:rsidRPr="003F6C4B">
        <w:rPr>
          <w:b/>
          <w:sz w:val="22"/>
        </w:rPr>
        <w:t xml:space="preserve"> </w:t>
      </w:r>
      <w:r w:rsidR="008F66CC" w:rsidRPr="003F6C4B">
        <w:rPr>
          <w:b/>
          <w:sz w:val="22"/>
        </w:rPr>
        <w:t>2020</w:t>
      </w:r>
      <w:r w:rsidRPr="003F6C4B">
        <w:rPr>
          <w:b/>
          <w:sz w:val="22"/>
        </w:rPr>
        <w:t xml:space="preserve"> г.</w:t>
      </w:r>
    </w:p>
    <w:p w:rsidR="00C1503A" w:rsidRDefault="00C1503A" w:rsidP="00C1503A">
      <w:pPr>
        <w:rPr>
          <w:b/>
          <w:sz w:val="22"/>
        </w:rPr>
      </w:pPr>
      <w:r w:rsidRPr="000D4DEB">
        <w:rPr>
          <w:sz w:val="22"/>
        </w:rPr>
        <w:t xml:space="preserve">Прием документов заканчивается </w:t>
      </w:r>
      <w:r w:rsidR="00127A8A">
        <w:rPr>
          <w:b/>
          <w:sz w:val="22"/>
        </w:rPr>
        <w:t>2</w:t>
      </w:r>
      <w:r w:rsidR="00322A0B">
        <w:rPr>
          <w:b/>
          <w:sz w:val="22"/>
        </w:rPr>
        <w:t>7</w:t>
      </w:r>
      <w:r w:rsidR="00127A8A">
        <w:rPr>
          <w:b/>
          <w:sz w:val="22"/>
        </w:rPr>
        <w:t xml:space="preserve"> апреля</w:t>
      </w:r>
      <w:r w:rsidR="00FD5CBF">
        <w:rPr>
          <w:b/>
          <w:sz w:val="22"/>
        </w:rPr>
        <w:t xml:space="preserve"> 2020</w:t>
      </w:r>
      <w:r w:rsidRPr="000D4DEB">
        <w:rPr>
          <w:b/>
          <w:sz w:val="22"/>
        </w:rPr>
        <w:t xml:space="preserve"> г. в </w:t>
      </w:r>
      <w:r w:rsidR="00766A0C">
        <w:rPr>
          <w:b/>
          <w:sz w:val="22"/>
        </w:rPr>
        <w:t>10</w:t>
      </w:r>
      <w:r w:rsidRPr="000D4DEB">
        <w:rPr>
          <w:b/>
          <w:sz w:val="22"/>
        </w:rPr>
        <w:t>.00 часов.</w:t>
      </w:r>
    </w:p>
    <w:p w:rsidR="00C1503A" w:rsidRDefault="00C1503A" w:rsidP="00C1503A">
      <w:pPr>
        <w:pStyle w:val="a5"/>
        <w:jc w:val="both"/>
        <w:rPr>
          <w:sz w:val="22"/>
          <w:szCs w:val="22"/>
        </w:rPr>
      </w:pPr>
      <w:r>
        <w:rPr>
          <w:rStyle w:val="a6"/>
          <w:b w:val="0"/>
          <w:sz w:val="22"/>
          <w:szCs w:val="22"/>
        </w:rPr>
        <w:t xml:space="preserve">             </w:t>
      </w:r>
      <w:r w:rsidRPr="000D4DEB">
        <w:rPr>
          <w:rStyle w:val="a6"/>
          <w:b w:val="0"/>
          <w:sz w:val="22"/>
          <w:szCs w:val="22"/>
        </w:rPr>
        <w:t>Определение участников торгов (аукциона)</w:t>
      </w:r>
      <w:r w:rsidRPr="000D4DEB">
        <w:rPr>
          <w:rStyle w:val="a6"/>
          <w:sz w:val="22"/>
          <w:szCs w:val="22"/>
        </w:rPr>
        <w:t xml:space="preserve"> </w:t>
      </w:r>
      <w:r w:rsidRPr="000D4DEB">
        <w:rPr>
          <w:sz w:val="22"/>
          <w:szCs w:val="22"/>
        </w:rPr>
        <w:t>будет произведено комиссией по проведению торгов по продаже права заключения дого</w:t>
      </w:r>
      <w:r>
        <w:rPr>
          <w:sz w:val="22"/>
          <w:szCs w:val="22"/>
        </w:rPr>
        <w:t xml:space="preserve">вора аренды земельных участков </w:t>
      </w:r>
      <w:r w:rsidR="00322A0B">
        <w:rPr>
          <w:b/>
          <w:sz w:val="22"/>
          <w:szCs w:val="22"/>
        </w:rPr>
        <w:t>29</w:t>
      </w:r>
      <w:bookmarkStart w:id="3" w:name="_GoBack"/>
      <w:bookmarkEnd w:id="3"/>
      <w:r w:rsidR="00127A8A">
        <w:rPr>
          <w:b/>
          <w:sz w:val="22"/>
          <w:szCs w:val="22"/>
        </w:rPr>
        <w:t xml:space="preserve"> апреля</w:t>
      </w:r>
      <w:r w:rsidR="00FD5CBF">
        <w:rPr>
          <w:b/>
          <w:sz w:val="22"/>
          <w:szCs w:val="22"/>
        </w:rPr>
        <w:t xml:space="preserve"> </w:t>
      </w:r>
      <w:r w:rsidRPr="000D4DEB">
        <w:rPr>
          <w:b/>
          <w:sz w:val="22"/>
          <w:szCs w:val="22"/>
        </w:rPr>
        <w:t>20</w:t>
      </w:r>
      <w:r w:rsidR="00FD5CBF">
        <w:rPr>
          <w:b/>
          <w:sz w:val="22"/>
          <w:szCs w:val="22"/>
        </w:rPr>
        <w:t>20</w:t>
      </w:r>
      <w:r w:rsidRPr="000D4DEB">
        <w:rPr>
          <w:b/>
          <w:sz w:val="22"/>
          <w:szCs w:val="22"/>
        </w:rPr>
        <w:t xml:space="preserve"> года в 1</w:t>
      </w:r>
      <w:r w:rsidR="00127A8A">
        <w:rPr>
          <w:b/>
          <w:sz w:val="22"/>
          <w:szCs w:val="22"/>
        </w:rPr>
        <w:t>0</w:t>
      </w:r>
      <w:r w:rsidRPr="000D4DEB">
        <w:rPr>
          <w:b/>
          <w:sz w:val="22"/>
          <w:szCs w:val="22"/>
        </w:rPr>
        <w:t xml:space="preserve"> час. 00 мин.</w:t>
      </w:r>
      <w:r w:rsidRPr="000D4DEB">
        <w:rPr>
          <w:sz w:val="22"/>
          <w:szCs w:val="22"/>
        </w:rPr>
        <w:t xml:space="preserve"> по адресу: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>, улица Мира, 42А, каб.103.</w:t>
      </w:r>
    </w:p>
    <w:p w:rsidR="00C1503A" w:rsidRPr="000D4DEB" w:rsidRDefault="00C1503A" w:rsidP="00C1503A">
      <w:pPr>
        <w:pStyle w:val="a5"/>
        <w:jc w:val="both"/>
        <w:rPr>
          <w:color w:val="000000"/>
          <w:sz w:val="22"/>
        </w:rPr>
      </w:pPr>
      <w:r>
        <w:rPr>
          <w:sz w:val="22"/>
          <w:szCs w:val="22"/>
        </w:rPr>
        <w:t xml:space="preserve">             </w:t>
      </w:r>
      <w:r w:rsidRPr="000D4DEB">
        <w:rPr>
          <w:color w:val="000000"/>
          <w:sz w:val="22"/>
        </w:rPr>
        <w:t>Осмотр земельного участка на местности производится в любое время в течение периода приема заявок по согласованию с Продавцом в назначенное время и дату.</w:t>
      </w:r>
    </w:p>
    <w:p w:rsidR="00C1503A" w:rsidRPr="000D4DEB" w:rsidRDefault="00C1503A" w:rsidP="00C1503A">
      <w:pPr>
        <w:rPr>
          <w:sz w:val="22"/>
        </w:rPr>
      </w:pPr>
      <w:r>
        <w:rPr>
          <w:b/>
          <w:sz w:val="22"/>
        </w:rPr>
        <w:t xml:space="preserve">8. </w:t>
      </w:r>
      <w:r w:rsidRPr="000D4DEB">
        <w:rPr>
          <w:b/>
          <w:sz w:val="22"/>
        </w:rPr>
        <w:t>Порядок внесения участниками аукц</w:t>
      </w:r>
      <w:r>
        <w:rPr>
          <w:b/>
          <w:sz w:val="22"/>
        </w:rPr>
        <w:t>и</w:t>
      </w:r>
      <w:r w:rsidRPr="000D4DEB">
        <w:rPr>
          <w:b/>
          <w:sz w:val="22"/>
        </w:rPr>
        <w:t>она задатка</w:t>
      </w:r>
    </w:p>
    <w:p w:rsidR="00C1503A" w:rsidRDefault="00C1503A" w:rsidP="00C1503A">
      <w:pPr>
        <w:rPr>
          <w:b/>
        </w:rPr>
      </w:pPr>
      <w:r w:rsidRPr="000D4DEB">
        <w:rPr>
          <w:sz w:val="22"/>
        </w:rPr>
        <w:t xml:space="preserve">Размеры задатков, вносимых заявителями для участия в торгах, перечисляются на </w:t>
      </w:r>
      <w:proofErr w:type="gramStart"/>
      <w:r w:rsidRPr="000D4DEB">
        <w:rPr>
          <w:sz w:val="22"/>
        </w:rPr>
        <w:t>расчетный  счет</w:t>
      </w:r>
      <w:proofErr w:type="gramEnd"/>
      <w:r w:rsidRPr="000D4DEB">
        <w:rPr>
          <w:sz w:val="22"/>
        </w:rPr>
        <w:t xml:space="preserve">  Управления финансами Администрации городского округа Кинель Самарской области (Комитет по управлению муниципальным имуществом городского округа Кинель Самарской области л/с 605010113),  счет №40302810436015000064 в отделении банка Самара </w:t>
      </w:r>
      <w:proofErr w:type="spellStart"/>
      <w:r w:rsidRPr="000D4DEB">
        <w:rPr>
          <w:sz w:val="22"/>
        </w:rPr>
        <w:t>г.Самара</w:t>
      </w:r>
      <w:proofErr w:type="spellEnd"/>
      <w:r w:rsidRPr="000D4DEB">
        <w:rPr>
          <w:sz w:val="22"/>
        </w:rPr>
        <w:t>,  ИНН 6350000872, КПП 635001001, БИК 043601001, ОКТМО 3670</w:t>
      </w:r>
      <w:r w:rsidR="00111A5E">
        <w:rPr>
          <w:sz w:val="22"/>
        </w:rPr>
        <w:t>8000</w:t>
      </w:r>
      <w:r>
        <w:rPr>
          <w:b/>
        </w:rPr>
        <w:t>.</w:t>
      </w:r>
    </w:p>
    <w:p w:rsidR="00C1503A" w:rsidRPr="000D4DEB" w:rsidRDefault="00C1503A" w:rsidP="00C1503A">
      <w:pPr>
        <w:rPr>
          <w:sz w:val="22"/>
        </w:rPr>
      </w:pPr>
      <w:r w:rsidRPr="00B0472C">
        <w:rPr>
          <w:sz w:val="24"/>
          <w:szCs w:val="24"/>
        </w:rPr>
        <w:t>В назначении платежа указывается: «Задаток для участия в аукционе п</w:t>
      </w:r>
      <w:r w:rsidRPr="000D4DEB">
        <w:rPr>
          <w:sz w:val="22"/>
        </w:rPr>
        <w:t>о лоту №____».</w:t>
      </w:r>
    </w:p>
    <w:p w:rsidR="00C1503A" w:rsidRDefault="00C1503A" w:rsidP="00C1503A">
      <w:pPr>
        <w:ind w:firstLine="426"/>
        <w:rPr>
          <w:sz w:val="22"/>
        </w:rPr>
      </w:pPr>
      <w:r w:rsidRPr="000D4DEB">
        <w:rPr>
          <w:sz w:val="22"/>
        </w:rPr>
        <w:lastRenderedPageBreak/>
        <w:t>Документом, подтверждающим поступление задатка на вышеуказанный счет, является выписка с этого счета. Предоставление документов, подтверждающих внесение задатка, признается заключением соглашения о задатке.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в соответствии с пунктом 13, 14 или 20 статьи 39.12 Земельного кодекса РФ,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 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  <w:r>
        <w:rPr>
          <w:sz w:val="22"/>
        </w:rPr>
        <w:t xml:space="preserve"> </w:t>
      </w:r>
      <w:r w:rsidRPr="000D4DEB">
        <w:rPr>
          <w:sz w:val="22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  <w:r>
        <w:rPr>
          <w:sz w:val="22"/>
        </w:rPr>
        <w:t xml:space="preserve"> </w:t>
      </w:r>
      <w:r w:rsidRPr="000D4DEB">
        <w:rPr>
          <w:sz w:val="22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  <w:r>
        <w:rPr>
          <w:sz w:val="22"/>
        </w:rPr>
        <w:t xml:space="preserve"> </w:t>
      </w:r>
      <w:r w:rsidRPr="000D4DEB">
        <w:rPr>
          <w:sz w:val="22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  <w:r>
        <w:rPr>
          <w:sz w:val="22"/>
        </w:rPr>
        <w:t xml:space="preserve">           </w:t>
      </w:r>
    </w:p>
    <w:p w:rsidR="00C1503A" w:rsidRPr="000D4DEB" w:rsidRDefault="00C1503A" w:rsidP="00011BE4">
      <w:pPr>
        <w:ind w:firstLine="426"/>
        <w:rPr>
          <w:sz w:val="22"/>
        </w:rPr>
      </w:pPr>
    </w:p>
    <w:p w:rsidR="00FC67FB" w:rsidRPr="000D4DEB" w:rsidRDefault="009F1CD2" w:rsidP="00FC67FB">
      <w:pPr>
        <w:rPr>
          <w:b/>
          <w:sz w:val="22"/>
        </w:rPr>
      </w:pPr>
      <w:r w:rsidRPr="000D4DEB">
        <w:rPr>
          <w:sz w:val="22"/>
        </w:rPr>
        <w:t xml:space="preserve">      </w:t>
      </w:r>
      <w:bookmarkStart w:id="4" w:name="sub_391211"/>
      <w:r w:rsidR="000D4DEB" w:rsidRPr="000D4DEB">
        <w:rPr>
          <w:b/>
          <w:sz w:val="22"/>
        </w:rPr>
        <w:t>9</w:t>
      </w:r>
      <w:r w:rsidR="00FC67FB" w:rsidRPr="000D4DEB">
        <w:rPr>
          <w:b/>
          <w:sz w:val="22"/>
        </w:rPr>
        <w:t xml:space="preserve">. Порядок проведения аукциона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.1.</w:t>
      </w:r>
      <w:r w:rsidR="00FC67FB" w:rsidRPr="000D4DEB">
        <w:rPr>
          <w:sz w:val="22"/>
        </w:rPr>
        <w:tab/>
        <w:t xml:space="preserve">Аукцион проводится в день и час по адресу, указанному в извещении. </w:t>
      </w:r>
    </w:p>
    <w:p w:rsidR="00FC67FB" w:rsidRPr="000D4DEB" w:rsidRDefault="000D4DEB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>.2.</w:t>
      </w:r>
      <w:r w:rsidR="00FC67FB" w:rsidRPr="000D4DEB">
        <w:rPr>
          <w:sz w:val="22"/>
        </w:rPr>
        <w:tab/>
        <w:t>Аукцион проводится в следующем порядке: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Заявители, признанные участниками аукциона, проходят процедуру регистрации участников аукциона в день проведения аукциона</w:t>
      </w:r>
      <w:r w:rsidR="000D4DEB">
        <w:rPr>
          <w:sz w:val="22"/>
        </w:rPr>
        <w:t xml:space="preserve"> по адресу: Самарская область, </w:t>
      </w:r>
      <w:proofErr w:type="spellStart"/>
      <w:r w:rsidR="000D4DEB">
        <w:rPr>
          <w:sz w:val="22"/>
        </w:rPr>
        <w:t>г.Кинель</w:t>
      </w:r>
      <w:proofErr w:type="spellEnd"/>
      <w:r w:rsidR="000D4DEB">
        <w:rPr>
          <w:sz w:val="22"/>
        </w:rPr>
        <w:t xml:space="preserve">, </w:t>
      </w:r>
      <w:proofErr w:type="spellStart"/>
      <w:r w:rsidR="000D4DEB">
        <w:rPr>
          <w:sz w:val="22"/>
        </w:rPr>
        <w:t>ул.Мира</w:t>
      </w:r>
      <w:proofErr w:type="spellEnd"/>
      <w:r w:rsidR="000D4DEB">
        <w:rPr>
          <w:sz w:val="22"/>
        </w:rPr>
        <w:t xml:space="preserve">, 42А, ком.107 </w:t>
      </w:r>
      <w:r w:rsidRPr="000D4DEB">
        <w:rPr>
          <w:sz w:val="22"/>
        </w:rPr>
        <w:t>в течение 30 (тридцати) минут до начала проведения аукциона, указанного в извещении. Для регистрации участник (представитель участника) аукциона обязан иметь при себе документ, удостоверяющий личность (паспорт). Представитель участника аукциона должен иметь при себе доверенность (оригинал) на право представлять интересы участника.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участникам аукциона выдаются пронумерованные карточки участника аукциона (далее – карточки);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за 10 минут до начала проведения аукциона, указанного в извещении, в зал проведения аукциона допускаются только зарегистрированные участники (представители участника) аукциона, Посторонние лица в зал про</w:t>
      </w:r>
      <w:r w:rsidR="00772E4C">
        <w:rPr>
          <w:sz w:val="22"/>
        </w:rPr>
        <w:t>ведения аукциона не допускаются</w:t>
      </w:r>
      <w:r w:rsidRPr="000D4DEB">
        <w:rPr>
          <w:sz w:val="22"/>
        </w:rPr>
        <w:t>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аукцион начинается с объявления председателем комиссии, или </w:t>
      </w:r>
      <w:r w:rsidRPr="00772E4C">
        <w:rPr>
          <w:sz w:val="22"/>
        </w:rPr>
        <w:t>секретарем</w:t>
      </w:r>
      <w:r w:rsidRPr="000D4DEB">
        <w:rPr>
          <w:sz w:val="22"/>
        </w:rPr>
        <w:t xml:space="preserve"> комиссии об открытии аукциона и представления аукциониста для ведения аукциона;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</w:r>
      <w:r w:rsidRPr="00772E4C">
        <w:rPr>
          <w:sz w:val="22"/>
        </w:rPr>
        <w:t>аукционистом</w:t>
      </w:r>
      <w:r w:rsidRPr="000D4DEB">
        <w:rPr>
          <w:b/>
          <w:sz w:val="22"/>
        </w:rPr>
        <w:t xml:space="preserve"> </w:t>
      </w:r>
      <w:r w:rsidRPr="000D4DEB">
        <w:rPr>
          <w:sz w:val="22"/>
        </w:rPr>
        <w:t>оглашаются номер (наименование) лота, его краткая характеристика, начальная цена и «шаг аукциона», а также номера карточек участников аукциона по данному лоту;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 xml:space="preserve">после оглашения аукционистом начальной цены </w:t>
      </w:r>
      <w:proofErr w:type="gramStart"/>
      <w:r w:rsidRPr="000D4DEB">
        <w:rPr>
          <w:sz w:val="22"/>
        </w:rPr>
        <w:t>аукциона,  участникам</w:t>
      </w:r>
      <w:proofErr w:type="gramEnd"/>
      <w:r w:rsidRPr="000D4DEB">
        <w:rPr>
          <w:sz w:val="22"/>
        </w:rPr>
        <w:t xml:space="preserve"> аукциона предлагается заявить эту цену путем поднятия карточек;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–</w:t>
      </w:r>
      <w:r w:rsidRPr="000D4DEB">
        <w:rPr>
          <w:sz w:val="22"/>
        </w:rPr>
        <w:tab/>
        <w:t>каждая последующая цена, превышающая предыдущую цену на «шаг аукциона», заявляется участниками аукциона путем поднятия карточек. В случае заявления цены, кратной «шагу аукциона», эта цена заявляется участниками аукциона путем поднятия карточек и ее оглашения;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аукционист объявляет номер карточки участника аукциона, который первым поднял карточку после объявления аукционистом начальной цена аукциона, увеличенной в соответствии с «шагом аукциона», последней цены аукциона, увеличенной в соответствии с «шагом аукциона» или последней цены аукциона, заявленной участником аукциона, а также новую цену аукциона, увеличенную в соответствии с «шагом аукциона» на который повышается цена;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>аукцион считается завершенным, если после троекратного объявления аукционистом последнего предложения о цене аукциона ни один участник аукциона не поднял карточку. В этом случае аукционист объявляет об окончании проведения аукциона, последнее предложение о цене аукциона, номер карточки победителя аукциона.</w:t>
      </w:r>
    </w:p>
    <w:p w:rsidR="00FC67FB" w:rsidRPr="000D4DEB" w:rsidRDefault="00FC67FB" w:rsidP="00FC67FB">
      <w:pPr>
        <w:rPr>
          <w:sz w:val="22"/>
        </w:rPr>
      </w:pPr>
      <w:r w:rsidRPr="000D4DEB">
        <w:rPr>
          <w:sz w:val="22"/>
        </w:rPr>
        <w:t>-</w:t>
      </w:r>
      <w:r w:rsidRPr="000D4DEB">
        <w:rPr>
          <w:sz w:val="22"/>
        </w:rPr>
        <w:tab/>
        <w:t xml:space="preserve">победителем аукциона признается участник аукциона, предложивший </w:t>
      </w:r>
      <w:r w:rsidR="00C63C73" w:rsidRPr="000D4DEB">
        <w:rPr>
          <w:sz w:val="22"/>
        </w:rPr>
        <w:t xml:space="preserve">наибольшую цену или </w:t>
      </w:r>
      <w:r w:rsidRPr="000D4DEB">
        <w:rPr>
          <w:sz w:val="22"/>
        </w:rPr>
        <w:t xml:space="preserve">наибольший размер ежегодной арендной </w:t>
      </w:r>
      <w:proofErr w:type="gramStart"/>
      <w:r w:rsidRPr="000D4DEB">
        <w:rPr>
          <w:sz w:val="22"/>
        </w:rPr>
        <w:t>платы</w:t>
      </w:r>
      <w:r w:rsidR="00C63C73" w:rsidRPr="000D4DEB">
        <w:rPr>
          <w:sz w:val="22"/>
        </w:rPr>
        <w:t xml:space="preserve"> </w:t>
      </w:r>
      <w:r w:rsidRPr="000D4DEB">
        <w:rPr>
          <w:sz w:val="22"/>
        </w:rPr>
        <w:t xml:space="preserve"> за</w:t>
      </w:r>
      <w:proofErr w:type="gramEnd"/>
      <w:r w:rsidRPr="000D4DEB">
        <w:rPr>
          <w:sz w:val="22"/>
        </w:rPr>
        <w:t xml:space="preserve"> земельный участок.</w:t>
      </w:r>
    </w:p>
    <w:p w:rsidR="00FC67FB" w:rsidRPr="000D4DEB" w:rsidRDefault="00772E4C" w:rsidP="00FC67FB">
      <w:pPr>
        <w:rPr>
          <w:sz w:val="22"/>
        </w:rPr>
      </w:pPr>
      <w:r>
        <w:rPr>
          <w:sz w:val="22"/>
        </w:rPr>
        <w:t>9</w:t>
      </w:r>
      <w:r w:rsidR="00FC67FB" w:rsidRPr="000D4DEB">
        <w:rPr>
          <w:sz w:val="22"/>
        </w:rPr>
        <w:t xml:space="preserve">.3. Во время проведения аукциона его участникам запрещено покидать зал проведения аукциона, передвигаться по залу проведения аукциона, осуществлять действия препятствующие проведению аукциона аукционистом, общаться с другими участниками торгов и разговаривать по </w:t>
      </w:r>
      <w:r w:rsidR="00FC67FB" w:rsidRPr="000D4DEB">
        <w:rPr>
          <w:sz w:val="22"/>
        </w:rPr>
        <w:lastRenderedPageBreak/>
        <w:t>мобильному телефону, осуществлять видео или фотосъемку без уведомления аукциониста или члена комиссии.</w:t>
      </w:r>
    </w:p>
    <w:p w:rsidR="00772E4C" w:rsidRDefault="00BE25CC" w:rsidP="00204B9B">
      <w:pPr>
        <w:pStyle w:val="a5"/>
        <w:jc w:val="both"/>
        <w:rPr>
          <w:b/>
          <w:sz w:val="22"/>
        </w:rPr>
      </w:pPr>
      <w:r>
        <w:rPr>
          <w:sz w:val="22"/>
          <w:szCs w:val="22"/>
        </w:rPr>
        <w:t xml:space="preserve">        </w:t>
      </w:r>
      <w:r w:rsidR="00204B9B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="00204B9B">
        <w:rPr>
          <w:sz w:val="22"/>
          <w:szCs w:val="22"/>
        </w:rPr>
        <w:t>9.4.</w:t>
      </w:r>
      <w:r>
        <w:rPr>
          <w:sz w:val="22"/>
          <w:szCs w:val="22"/>
        </w:rPr>
        <w:t xml:space="preserve">  </w:t>
      </w:r>
      <w:r w:rsidRPr="000D4DEB">
        <w:rPr>
          <w:sz w:val="22"/>
          <w:szCs w:val="22"/>
        </w:rPr>
        <w:t xml:space="preserve">Организатор аукциона вправе отказаться от проведения аукциона в случае выявления обстоятельств, предусмотренных пунктом 8 статьи 39.11 Земельного кодекса РФ. Извещение об отказе в проведении аукциона размещается на официальном сайте </w:t>
      </w:r>
      <w:r w:rsidRPr="000D4DEB">
        <w:rPr>
          <w:sz w:val="22"/>
          <w:szCs w:val="22"/>
          <w:lang w:val="en-US"/>
        </w:rPr>
        <w:t>www</w:t>
      </w:r>
      <w:r w:rsidRPr="000D4DEB">
        <w:rPr>
          <w:sz w:val="22"/>
          <w:szCs w:val="22"/>
        </w:rPr>
        <w:t>.torgi.gov.ru организатором аукциона в течение трех дней со дня принятия данного решения.</w:t>
      </w:r>
    </w:p>
    <w:p w:rsidR="0039227B" w:rsidRPr="0039227B" w:rsidRDefault="00204B9B" w:rsidP="00204B9B">
      <w:pPr>
        <w:ind w:left="-3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39227B" w:rsidRPr="0039227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0</w:t>
      </w:r>
      <w:r w:rsidR="0039227B" w:rsidRPr="0039227B">
        <w:rPr>
          <w:b/>
          <w:sz w:val="24"/>
          <w:szCs w:val="24"/>
        </w:rPr>
        <w:t>. Дата, время и место проведения аукциона</w:t>
      </w:r>
    </w:p>
    <w:p w:rsidR="0039227B" w:rsidRPr="0039227B" w:rsidRDefault="0039227B" w:rsidP="00E76470">
      <w:pPr>
        <w:rPr>
          <w:b/>
          <w:sz w:val="24"/>
          <w:szCs w:val="24"/>
        </w:rPr>
      </w:pPr>
      <w:r w:rsidRPr="003F1640">
        <w:rPr>
          <w:sz w:val="22"/>
        </w:rPr>
        <w:t xml:space="preserve">Аукцион будет проведен </w:t>
      </w:r>
      <w:r w:rsidR="00322A0B">
        <w:rPr>
          <w:b/>
          <w:sz w:val="22"/>
        </w:rPr>
        <w:t>30</w:t>
      </w:r>
      <w:r w:rsidR="004E0A35">
        <w:rPr>
          <w:b/>
          <w:sz w:val="22"/>
        </w:rPr>
        <w:t xml:space="preserve"> </w:t>
      </w:r>
      <w:r w:rsidR="00127A8A">
        <w:rPr>
          <w:b/>
          <w:sz w:val="22"/>
        </w:rPr>
        <w:t xml:space="preserve">апреля </w:t>
      </w:r>
      <w:r w:rsidR="004E0A35">
        <w:rPr>
          <w:b/>
          <w:sz w:val="22"/>
        </w:rPr>
        <w:t>2020 г.</w:t>
      </w:r>
      <w:r w:rsidR="00BA3C56" w:rsidRPr="003F1640">
        <w:rPr>
          <w:b/>
          <w:sz w:val="22"/>
        </w:rPr>
        <w:t xml:space="preserve"> в </w:t>
      </w:r>
      <w:r w:rsidR="008C56F6">
        <w:rPr>
          <w:b/>
          <w:sz w:val="22"/>
        </w:rPr>
        <w:t>1</w:t>
      </w:r>
      <w:r w:rsidR="00127A8A">
        <w:rPr>
          <w:b/>
          <w:sz w:val="22"/>
        </w:rPr>
        <w:t>1</w:t>
      </w:r>
      <w:r w:rsidRPr="003F1640">
        <w:rPr>
          <w:b/>
          <w:sz w:val="22"/>
        </w:rPr>
        <w:t xml:space="preserve"> час. </w:t>
      </w:r>
      <w:r w:rsidR="008C56F6">
        <w:rPr>
          <w:b/>
          <w:sz w:val="22"/>
        </w:rPr>
        <w:t>0</w:t>
      </w:r>
      <w:r w:rsidRPr="003F1640">
        <w:rPr>
          <w:b/>
          <w:sz w:val="22"/>
        </w:rPr>
        <w:t>0 мин</w:t>
      </w:r>
      <w:r w:rsidRPr="003F1640">
        <w:rPr>
          <w:color w:val="FF0000"/>
          <w:sz w:val="22"/>
        </w:rPr>
        <w:t>.</w:t>
      </w:r>
      <w:r w:rsidRPr="003F1640">
        <w:rPr>
          <w:sz w:val="22"/>
        </w:rPr>
        <w:t xml:space="preserve">  по местному времени по адресу: Самарская область, </w:t>
      </w:r>
      <w:proofErr w:type="spellStart"/>
      <w:r w:rsidRPr="003F1640">
        <w:rPr>
          <w:sz w:val="22"/>
        </w:rPr>
        <w:t>г.Кинель</w:t>
      </w:r>
      <w:proofErr w:type="spellEnd"/>
      <w:r w:rsidRPr="003F1640">
        <w:rPr>
          <w:sz w:val="22"/>
        </w:rPr>
        <w:t xml:space="preserve">, </w:t>
      </w:r>
      <w:proofErr w:type="spellStart"/>
      <w:r w:rsidRPr="003F1640">
        <w:rPr>
          <w:sz w:val="22"/>
        </w:rPr>
        <w:t>ул.Мира</w:t>
      </w:r>
      <w:proofErr w:type="spellEnd"/>
      <w:r w:rsidRPr="003F1640">
        <w:rPr>
          <w:sz w:val="22"/>
        </w:rPr>
        <w:t>, 42а, каб.103</w:t>
      </w:r>
    </w:p>
    <w:p w:rsidR="00E76470" w:rsidRPr="000D4DEB" w:rsidRDefault="000D4DEB" w:rsidP="00E76470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1</w:t>
      </w:r>
      <w:r w:rsidR="00E76470" w:rsidRPr="000D4DEB">
        <w:rPr>
          <w:b/>
          <w:sz w:val="22"/>
        </w:rPr>
        <w:t>. Оформление результатов торгов</w:t>
      </w:r>
    </w:p>
    <w:p w:rsidR="00E76470" w:rsidRDefault="00E76470" w:rsidP="00E76470">
      <w:pPr>
        <w:pStyle w:val="a5"/>
        <w:jc w:val="both"/>
        <w:rPr>
          <w:sz w:val="22"/>
          <w:szCs w:val="22"/>
        </w:rPr>
      </w:pPr>
      <w:r w:rsidRPr="000D4DEB">
        <w:rPr>
          <w:rStyle w:val="a6"/>
          <w:b w:val="0"/>
          <w:sz w:val="22"/>
          <w:szCs w:val="22"/>
        </w:rPr>
        <w:t>Подведение итогов торгов (аукциона)</w:t>
      </w:r>
      <w:r w:rsidRPr="000D4DEB">
        <w:rPr>
          <w:b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будет проведено </w:t>
      </w:r>
      <w:r w:rsidR="00322A0B">
        <w:rPr>
          <w:b/>
          <w:sz w:val="22"/>
          <w:szCs w:val="22"/>
        </w:rPr>
        <w:t>30</w:t>
      </w:r>
      <w:r w:rsidR="004E0A35" w:rsidRPr="004E0A35">
        <w:rPr>
          <w:b/>
          <w:sz w:val="22"/>
          <w:szCs w:val="22"/>
        </w:rPr>
        <w:t xml:space="preserve"> </w:t>
      </w:r>
      <w:r w:rsidR="00127A8A">
        <w:rPr>
          <w:b/>
          <w:sz w:val="22"/>
          <w:szCs w:val="22"/>
        </w:rPr>
        <w:t xml:space="preserve">апреля </w:t>
      </w:r>
      <w:r w:rsidR="004E0A35" w:rsidRPr="004E0A35">
        <w:rPr>
          <w:b/>
          <w:sz w:val="22"/>
          <w:szCs w:val="22"/>
        </w:rPr>
        <w:t>2020 г.</w:t>
      </w:r>
      <w:r w:rsidRPr="000D4DEB">
        <w:rPr>
          <w:rStyle w:val="a6"/>
          <w:b w:val="0"/>
          <w:sz w:val="22"/>
          <w:szCs w:val="22"/>
        </w:rPr>
        <w:t xml:space="preserve"> </w:t>
      </w:r>
      <w:r w:rsidRPr="000D4DEB">
        <w:rPr>
          <w:sz w:val="22"/>
          <w:szCs w:val="22"/>
        </w:rPr>
        <w:t xml:space="preserve">по адресу: Самарская область, </w:t>
      </w:r>
      <w:proofErr w:type="spellStart"/>
      <w:r w:rsidRPr="000D4DEB">
        <w:rPr>
          <w:sz w:val="22"/>
          <w:szCs w:val="22"/>
        </w:rPr>
        <w:t>г.Кинель</w:t>
      </w:r>
      <w:proofErr w:type="spellEnd"/>
      <w:r w:rsidRPr="000D4DEB">
        <w:rPr>
          <w:sz w:val="22"/>
          <w:szCs w:val="22"/>
        </w:rPr>
        <w:t>, улица Мира, 42А, каб.103.</w:t>
      </w:r>
    </w:p>
    <w:p w:rsidR="00BE25CC" w:rsidRPr="000D4DEB" w:rsidRDefault="00204B9B" w:rsidP="00E76470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BE25CC" w:rsidRPr="000D4DEB">
        <w:rPr>
          <w:sz w:val="22"/>
          <w:szCs w:val="22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E76470" w:rsidRPr="000D4DEB" w:rsidRDefault="00204B9B" w:rsidP="00E76470">
      <w:pPr>
        <w:pStyle w:val="a5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E76470" w:rsidRPr="000D4DEB">
        <w:rPr>
          <w:sz w:val="22"/>
          <w:szCs w:val="22"/>
        </w:rPr>
        <w:t xml:space="preserve">Результаты аукциона оформляются протоколом, который составляет организатор аукциона в соответствии с п.15 ст.39.12 Земельного кодекса РФ. Протокол о результатах аукциона составляется в двух экземплярах. Протокол о результатах аукциона Организатор аукциона передает победителю или его полномочному представителю под расписку </w:t>
      </w:r>
      <w:r w:rsidR="00E76470" w:rsidRPr="000D4DEB">
        <w:rPr>
          <w:bCs/>
          <w:sz w:val="22"/>
          <w:szCs w:val="22"/>
        </w:rPr>
        <w:t xml:space="preserve">в течение одного рабочего дня со дня подписания протокола </w:t>
      </w:r>
      <w:r w:rsidR="00E76470" w:rsidRPr="000D4DEB">
        <w:rPr>
          <w:sz w:val="22"/>
          <w:szCs w:val="22"/>
        </w:rPr>
        <w:t>о результатах аукциона.</w:t>
      </w:r>
    </w:p>
    <w:p w:rsidR="00E07318" w:rsidRPr="000D4DEB" w:rsidRDefault="000D4DEB" w:rsidP="00E07318">
      <w:pPr>
        <w:rPr>
          <w:b/>
          <w:sz w:val="22"/>
        </w:rPr>
      </w:pPr>
      <w:r>
        <w:rPr>
          <w:b/>
          <w:sz w:val="22"/>
        </w:rPr>
        <w:t>1</w:t>
      </w:r>
      <w:r w:rsidR="00204B9B">
        <w:rPr>
          <w:b/>
          <w:sz w:val="22"/>
        </w:rPr>
        <w:t>2</w:t>
      </w:r>
      <w:r>
        <w:rPr>
          <w:b/>
          <w:sz w:val="22"/>
        </w:rPr>
        <w:t>.</w:t>
      </w:r>
      <w:r w:rsidR="00772E4C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>Заключение договора аренды</w:t>
      </w:r>
      <w:r w:rsidR="00F44FFF">
        <w:rPr>
          <w:b/>
          <w:sz w:val="22"/>
        </w:rPr>
        <w:t xml:space="preserve"> </w:t>
      </w:r>
      <w:r w:rsidR="00E07318" w:rsidRPr="000D4DEB">
        <w:rPr>
          <w:b/>
          <w:sz w:val="22"/>
        </w:rPr>
        <w:t xml:space="preserve">по итогам аукциона </w:t>
      </w:r>
    </w:p>
    <w:p w:rsidR="00E76470" w:rsidRPr="000D4DEB" w:rsidRDefault="00E76470" w:rsidP="00E76470">
      <w:pPr>
        <w:pStyle w:val="a5"/>
        <w:spacing w:before="0" w:after="0"/>
        <w:jc w:val="both"/>
        <w:rPr>
          <w:sz w:val="22"/>
          <w:szCs w:val="22"/>
        </w:rPr>
      </w:pPr>
      <w:r w:rsidRPr="000D4DEB">
        <w:rPr>
          <w:sz w:val="22"/>
          <w:szCs w:val="22"/>
        </w:rPr>
        <w:t>Организатор аукциона направляет победителю аукциона или единственному принявшему участие в аукционе его участнику три экземпляра подписанного проекта договора аренды земельного участка в десятидневный срок со дня составления протокола о результатах аукциона.</w:t>
      </w:r>
    </w:p>
    <w:p w:rsidR="00E76470" w:rsidRPr="000D4DEB" w:rsidRDefault="00E76470" w:rsidP="00E76470">
      <w:pPr>
        <w:rPr>
          <w:sz w:val="22"/>
        </w:rPr>
      </w:pPr>
      <w:r w:rsidRPr="000D4DEB">
        <w:rPr>
          <w:sz w:val="22"/>
        </w:rPr>
        <w:t xml:space="preserve">Не допускается заключение указанных договоров ранее чем через десять дней со дня размещения информации о результатах аукциона на официальном сайте </w:t>
      </w:r>
      <w:hyperlink r:id="rId5" w:history="1">
        <w:r w:rsidRPr="000D4DEB">
          <w:rPr>
            <w:rStyle w:val="a3"/>
            <w:color w:val="000000"/>
            <w:sz w:val="22"/>
            <w:lang w:val="en-US"/>
          </w:rPr>
          <w:t>http</w:t>
        </w:r>
        <w:r w:rsidRPr="000D4DEB">
          <w:rPr>
            <w:rStyle w:val="a3"/>
            <w:color w:val="000000"/>
            <w:sz w:val="22"/>
          </w:rPr>
          <w:t>://</w:t>
        </w:r>
        <w:r w:rsidRPr="000D4DEB">
          <w:rPr>
            <w:rStyle w:val="a3"/>
            <w:color w:val="000000"/>
            <w:sz w:val="22"/>
            <w:lang w:val="en-US"/>
          </w:rPr>
          <w:t>www</w:t>
        </w:r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torgi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gov</w:t>
        </w:r>
        <w:proofErr w:type="spellEnd"/>
        <w:r w:rsidRPr="000D4DEB">
          <w:rPr>
            <w:rStyle w:val="a3"/>
            <w:color w:val="000000"/>
            <w:sz w:val="22"/>
          </w:rPr>
          <w:t>.</w:t>
        </w:r>
        <w:proofErr w:type="spellStart"/>
        <w:r w:rsidRPr="000D4DEB">
          <w:rPr>
            <w:rStyle w:val="a3"/>
            <w:color w:val="000000"/>
            <w:sz w:val="22"/>
            <w:lang w:val="en-US"/>
          </w:rPr>
          <w:t>ru</w:t>
        </w:r>
        <w:proofErr w:type="spellEnd"/>
      </w:hyperlink>
      <w:r w:rsidRPr="000D4DEB">
        <w:rPr>
          <w:sz w:val="22"/>
        </w:rPr>
        <w:t>.</w:t>
      </w:r>
    </w:p>
    <w:p w:rsidR="00E76470" w:rsidRDefault="006E6EAE" w:rsidP="00E76470">
      <w:pPr>
        <w:ind w:firstLine="426"/>
        <w:rPr>
          <w:b/>
          <w:sz w:val="22"/>
        </w:rPr>
      </w:pPr>
      <w:r>
        <w:rPr>
          <w:b/>
          <w:sz w:val="22"/>
        </w:rPr>
        <w:t>С формами заявки и договора</w:t>
      </w:r>
      <w:r w:rsidR="00E76470" w:rsidRPr="000D4DEB">
        <w:rPr>
          <w:b/>
          <w:sz w:val="22"/>
        </w:rPr>
        <w:t xml:space="preserve"> можно ознакомиться на официальном сайте администрации </w:t>
      </w:r>
      <w:proofErr w:type="spellStart"/>
      <w:r w:rsidR="00E76470" w:rsidRPr="000D4DEB">
        <w:rPr>
          <w:b/>
          <w:sz w:val="22"/>
        </w:rPr>
        <w:t>г.о.Кинель</w:t>
      </w:r>
      <w:proofErr w:type="spellEnd"/>
      <w:r w:rsidR="00E76470" w:rsidRPr="000D4DEB">
        <w:rPr>
          <w:b/>
          <w:sz w:val="22"/>
        </w:rPr>
        <w:t xml:space="preserve"> </w:t>
      </w:r>
      <w:r w:rsidR="00E76470" w:rsidRPr="000D4DEB">
        <w:rPr>
          <w:b/>
          <w:sz w:val="22"/>
          <w:lang w:val="en-US"/>
        </w:rPr>
        <w:t>http</w:t>
      </w:r>
      <w:r w:rsidR="00E76470" w:rsidRPr="000D4DEB">
        <w:rPr>
          <w:b/>
          <w:sz w:val="22"/>
        </w:rPr>
        <w:t>://</w:t>
      </w:r>
      <w:r w:rsidR="00E76470" w:rsidRPr="000D4DEB">
        <w:rPr>
          <w:b/>
          <w:sz w:val="22"/>
          <w:lang w:val="en-US"/>
        </w:rPr>
        <w:t>www</w:t>
      </w:r>
      <w:r w:rsidR="00E76470" w:rsidRPr="000D4DEB">
        <w:rPr>
          <w:b/>
          <w:sz w:val="22"/>
        </w:rPr>
        <w:t>.</w:t>
      </w:r>
      <w:proofErr w:type="spellStart"/>
      <w:r w:rsidR="00E76470" w:rsidRPr="000D4DEB">
        <w:rPr>
          <w:b/>
          <w:sz w:val="22"/>
        </w:rPr>
        <w:t>кинельгород.рф</w:t>
      </w:r>
      <w:proofErr w:type="spellEnd"/>
      <w:r w:rsidR="00E76470" w:rsidRPr="000D4DEB">
        <w:rPr>
          <w:b/>
          <w:sz w:val="22"/>
        </w:rPr>
        <w:t xml:space="preserve"> и </w:t>
      </w:r>
      <w:r w:rsidR="00E76470" w:rsidRPr="000D4DEB">
        <w:rPr>
          <w:b/>
          <w:bCs/>
          <w:sz w:val="22"/>
        </w:rPr>
        <w:t xml:space="preserve">на </w:t>
      </w:r>
      <w:proofErr w:type="gramStart"/>
      <w:r w:rsidR="00E76470" w:rsidRPr="000D4DEB">
        <w:rPr>
          <w:b/>
          <w:bCs/>
          <w:sz w:val="22"/>
        </w:rPr>
        <w:t xml:space="preserve">сайте  </w:t>
      </w:r>
      <w:hyperlink r:id="rId6" w:history="1">
        <w:r w:rsidR="00E76470" w:rsidRPr="000D4DEB">
          <w:rPr>
            <w:rStyle w:val="a3"/>
            <w:b/>
            <w:color w:val="000000"/>
            <w:sz w:val="22"/>
            <w:lang w:val="en-US"/>
          </w:rPr>
          <w:t>http</w:t>
        </w:r>
        <w:r w:rsidR="00E76470" w:rsidRPr="000D4DEB">
          <w:rPr>
            <w:rStyle w:val="a3"/>
            <w:b/>
            <w:color w:val="000000"/>
            <w:sz w:val="22"/>
          </w:rPr>
          <w:t>://</w:t>
        </w:r>
        <w:r w:rsidR="00E76470" w:rsidRPr="000D4DEB">
          <w:rPr>
            <w:rStyle w:val="a3"/>
            <w:b/>
            <w:color w:val="000000"/>
            <w:sz w:val="22"/>
            <w:lang w:val="en-US"/>
          </w:rPr>
          <w:t>www</w:t>
        </w:r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torgi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gov</w:t>
        </w:r>
        <w:proofErr w:type="spellEnd"/>
        <w:r w:rsidR="00E76470" w:rsidRPr="000D4DEB">
          <w:rPr>
            <w:rStyle w:val="a3"/>
            <w:b/>
            <w:color w:val="000000"/>
            <w:sz w:val="22"/>
          </w:rPr>
          <w:t>.</w:t>
        </w:r>
        <w:proofErr w:type="spellStart"/>
        <w:r w:rsidR="00E76470" w:rsidRPr="000D4DEB">
          <w:rPr>
            <w:rStyle w:val="a3"/>
            <w:b/>
            <w:color w:val="000000"/>
            <w:sz w:val="22"/>
            <w:lang w:val="en-US"/>
          </w:rPr>
          <w:t>ru</w:t>
        </w:r>
        <w:proofErr w:type="spellEnd"/>
        <w:proofErr w:type="gramEnd"/>
      </w:hyperlink>
      <w:r w:rsidR="00E76470" w:rsidRPr="000D4DEB">
        <w:rPr>
          <w:b/>
          <w:color w:val="000000"/>
          <w:sz w:val="22"/>
        </w:rPr>
        <w:t xml:space="preserve">  </w:t>
      </w:r>
      <w:r w:rsidR="00E76470" w:rsidRPr="000D4DEB">
        <w:rPr>
          <w:b/>
          <w:sz w:val="22"/>
        </w:rPr>
        <w:t xml:space="preserve">в сети «Интернет». </w:t>
      </w:r>
      <w:bookmarkEnd w:id="4"/>
    </w:p>
    <w:sectPr w:rsidR="00E76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New Roman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76E94"/>
    <w:multiLevelType w:val="hybridMultilevel"/>
    <w:tmpl w:val="8E947008"/>
    <w:lvl w:ilvl="0" w:tplc="4B22DE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3045A"/>
    <w:multiLevelType w:val="hybridMultilevel"/>
    <w:tmpl w:val="9078B584"/>
    <w:lvl w:ilvl="0" w:tplc="3DA8DA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7457A9"/>
    <w:multiLevelType w:val="hybridMultilevel"/>
    <w:tmpl w:val="EBA226EA"/>
    <w:lvl w:ilvl="0" w:tplc="36F4A238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5E07BF4"/>
    <w:multiLevelType w:val="hybridMultilevel"/>
    <w:tmpl w:val="9078B584"/>
    <w:lvl w:ilvl="0" w:tplc="3DA8DA76">
      <w:start w:val="1"/>
      <w:numFmt w:val="decimal"/>
      <w:lvlText w:val="%1."/>
      <w:lvlJc w:val="left"/>
      <w:pPr>
        <w:ind w:left="50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49"/>
    <w:rsid w:val="00011BE4"/>
    <w:rsid w:val="0003768F"/>
    <w:rsid w:val="00081F02"/>
    <w:rsid w:val="00092B1E"/>
    <w:rsid w:val="0009563C"/>
    <w:rsid w:val="000A078D"/>
    <w:rsid w:val="000A3369"/>
    <w:rsid w:val="000A7626"/>
    <w:rsid w:val="000B396F"/>
    <w:rsid w:val="000C0BC0"/>
    <w:rsid w:val="000D1FF2"/>
    <w:rsid w:val="000D4DEB"/>
    <w:rsid w:val="000E14E9"/>
    <w:rsid w:val="000F06DB"/>
    <w:rsid w:val="000F7860"/>
    <w:rsid w:val="00111A5E"/>
    <w:rsid w:val="00127A8A"/>
    <w:rsid w:val="001500E1"/>
    <w:rsid w:val="00151468"/>
    <w:rsid w:val="0016151C"/>
    <w:rsid w:val="00172EB2"/>
    <w:rsid w:val="00184DE7"/>
    <w:rsid w:val="001B344D"/>
    <w:rsid w:val="00200E6E"/>
    <w:rsid w:val="00204B9B"/>
    <w:rsid w:val="00261516"/>
    <w:rsid w:val="002646B0"/>
    <w:rsid w:val="00281D98"/>
    <w:rsid w:val="00287438"/>
    <w:rsid w:val="002B55F6"/>
    <w:rsid w:val="002D1BC6"/>
    <w:rsid w:val="002D5AD6"/>
    <w:rsid w:val="002F4EC9"/>
    <w:rsid w:val="002F5C36"/>
    <w:rsid w:val="00322A0B"/>
    <w:rsid w:val="00341412"/>
    <w:rsid w:val="0039227B"/>
    <w:rsid w:val="003B3CFE"/>
    <w:rsid w:val="003D737A"/>
    <w:rsid w:val="003F1640"/>
    <w:rsid w:val="003F4384"/>
    <w:rsid w:val="003F6C4B"/>
    <w:rsid w:val="00402C6B"/>
    <w:rsid w:val="00405A74"/>
    <w:rsid w:val="00420FF8"/>
    <w:rsid w:val="004322D3"/>
    <w:rsid w:val="00442174"/>
    <w:rsid w:val="0046690C"/>
    <w:rsid w:val="0047210C"/>
    <w:rsid w:val="004E0A35"/>
    <w:rsid w:val="004E702D"/>
    <w:rsid w:val="004F32AF"/>
    <w:rsid w:val="00502725"/>
    <w:rsid w:val="005147F2"/>
    <w:rsid w:val="00525CD1"/>
    <w:rsid w:val="00554AEE"/>
    <w:rsid w:val="00570D5A"/>
    <w:rsid w:val="0057144E"/>
    <w:rsid w:val="005856C2"/>
    <w:rsid w:val="005C0091"/>
    <w:rsid w:val="005C36CC"/>
    <w:rsid w:val="00631151"/>
    <w:rsid w:val="00632C6F"/>
    <w:rsid w:val="00653693"/>
    <w:rsid w:val="00662D2A"/>
    <w:rsid w:val="006D0720"/>
    <w:rsid w:val="006E59B3"/>
    <w:rsid w:val="006E6EAE"/>
    <w:rsid w:val="006F06F7"/>
    <w:rsid w:val="006F6D8E"/>
    <w:rsid w:val="00705BDF"/>
    <w:rsid w:val="007105B7"/>
    <w:rsid w:val="00766A0C"/>
    <w:rsid w:val="00772E4C"/>
    <w:rsid w:val="007863F2"/>
    <w:rsid w:val="007878DB"/>
    <w:rsid w:val="007A6B2B"/>
    <w:rsid w:val="007C18F8"/>
    <w:rsid w:val="007C254F"/>
    <w:rsid w:val="007D70F4"/>
    <w:rsid w:val="007E7E90"/>
    <w:rsid w:val="007F35FC"/>
    <w:rsid w:val="0083478D"/>
    <w:rsid w:val="00835649"/>
    <w:rsid w:val="008934DD"/>
    <w:rsid w:val="008B1EDB"/>
    <w:rsid w:val="008B43C9"/>
    <w:rsid w:val="008C56F6"/>
    <w:rsid w:val="008D3485"/>
    <w:rsid w:val="008D712C"/>
    <w:rsid w:val="008F66CC"/>
    <w:rsid w:val="00916079"/>
    <w:rsid w:val="00925DF6"/>
    <w:rsid w:val="00950CBA"/>
    <w:rsid w:val="00954383"/>
    <w:rsid w:val="0095490A"/>
    <w:rsid w:val="00973E49"/>
    <w:rsid w:val="009907A0"/>
    <w:rsid w:val="009D5206"/>
    <w:rsid w:val="009F1CD2"/>
    <w:rsid w:val="00A03A15"/>
    <w:rsid w:val="00A110E4"/>
    <w:rsid w:val="00A402DB"/>
    <w:rsid w:val="00A91952"/>
    <w:rsid w:val="00A921C8"/>
    <w:rsid w:val="00A922A2"/>
    <w:rsid w:val="00A943FE"/>
    <w:rsid w:val="00AA56AC"/>
    <w:rsid w:val="00AC01B7"/>
    <w:rsid w:val="00AC3EDC"/>
    <w:rsid w:val="00AD6561"/>
    <w:rsid w:val="00B02500"/>
    <w:rsid w:val="00B0472C"/>
    <w:rsid w:val="00B11429"/>
    <w:rsid w:val="00B14964"/>
    <w:rsid w:val="00B252C7"/>
    <w:rsid w:val="00B2603C"/>
    <w:rsid w:val="00B30FE9"/>
    <w:rsid w:val="00B362B6"/>
    <w:rsid w:val="00B51A06"/>
    <w:rsid w:val="00B6524F"/>
    <w:rsid w:val="00B67238"/>
    <w:rsid w:val="00BA3C56"/>
    <w:rsid w:val="00BA76CC"/>
    <w:rsid w:val="00BB33F9"/>
    <w:rsid w:val="00BC400D"/>
    <w:rsid w:val="00BD42CA"/>
    <w:rsid w:val="00BD60AD"/>
    <w:rsid w:val="00BE25CC"/>
    <w:rsid w:val="00BE434E"/>
    <w:rsid w:val="00C04520"/>
    <w:rsid w:val="00C04DBA"/>
    <w:rsid w:val="00C05432"/>
    <w:rsid w:val="00C1503A"/>
    <w:rsid w:val="00C20BC5"/>
    <w:rsid w:val="00C42B2A"/>
    <w:rsid w:val="00C63C73"/>
    <w:rsid w:val="00C738E7"/>
    <w:rsid w:val="00CA796D"/>
    <w:rsid w:val="00CC4CD5"/>
    <w:rsid w:val="00CD598A"/>
    <w:rsid w:val="00CE1ECF"/>
    <w:rsid w:val="00CF3C66"/>
    <w:rsid w:val="00D000CA"/>
    <w:rsid w:val="00D16FDE"/>
    <w:rsid w:val="00D86F18"/>
    <w:rsid w:val="00DA548F"/>
    <w:rsid w:val="00DB2798"/>
    <w:rsid w:val="00DD2B8C"/>
    <w:rsid w:val="00DF5582"/>
    <w:rsid w:val="00DF66BA"/>
    <w:rsid w:val="00E07318"/>
    <w:rsid w:val="00E30E2A"/>
    <w:rsid w:val="00E352B5"/>
    <w:rsid w:val="00E60274"/>
    <w:rsid w:val="00E65898"/>
    <w:rsid w:val="00E706EA"/>
    <w:rsid w:val="00E76470"/>
    <w:rsid w:val="00EB6908"/>
    <w:rsid w:val="00EB744B"/>
    <w:rsid w:val="00EC06C8"/>
    <w:rsid w:val="00EC70DA"/>
    <w:rsid w:val="00F42EC3"/>
    <w:rsid w:val="00F43A8F"/>
    <w:rsid w:val="00F44FFF"/>
    <w:rsid w:val="00F664B4"/>
    <w:rsid w:val="00FC67FB"/>
    <w:rsid w:val="00FC7500"/>
    <w:rsid w:val="00FD5CBF"/>
    <w:rsid w:val="00FF26D9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67B8A-9C7F-474C-A8A5-D21C7651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17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A110E4"/>
    <w:pPr>
      <w:keepNext/>
      <w:ind w:firstLine="0"/>
      <w:jc w:val="left"/>
      <w:outlineLvl w:val="0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42174"/>
    <w:rPr>
      <w:rFonts w:cs="Times New Roman"/>
      <w:color w:val="0000FF"/>
      <w:u w:val="single"/>
    </w:rPr>
  </w:style>
  <w:style w:type="paragraph" w:customStyle="1" w:styleId="1250">
    <w:name w:val="Стиль Слева:  125 см Первая строка:  0 см"/>
    <w:basedOn w:val="a"/>
    <w:rsid w:val="00442174"/>
    <w:rPr>
      <w:szCs w:val="20"/>
    </w:rPr>
  </w:style>
  <w:style w:type="paragraph" w:styleId="2">
    <w:name w:val="Body Text 2"/>
    <w:basedOn w:val="a"/>
    <w:link w:val="20"/>
    <w:rsid w:val="00442174"/>
    <w:pPr>
      <w:ind w:firstLine="0"/>
    </w:pPr>
    <w:rPr>
      <w:color w:val="FFFFFF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442174"/>
    <w:rPr>
      <w:rFonts w:ascii="Times New Roman" w:eastAsia="Times New Roman" w:hAnsi="Times New Roman" w:cs="Times New Roman"/>
      <w:color w:val="FFFFFF"/>
      <w:sz w:val="28"/>
      <w:szCs w:val="24"/>
      <w:lang w:eastAsia="ru-RU"/>
    </w:rPr>
  </w:style>
  <w:style w:type="paragraph" w:customStyle="1" w:styleId="ConsPlusCell">
    <w:name w:val="ConsPlusCell"/>
    <w:uiPriority w:val="99"/>
    <w:rsid w:val="009F1CD2"/>
    <w:pPr>
      <w:autoSpaceDE w:val="0"/>
      <w:autoSpaceDN w:val="0"/>
      <w:adjustRightInd w:val="0"/>
      <w:spacing w:after="0" w:line="240" w:lineRule="auto"/>
    </w:pPr>
    <w:rPr>
      <w:rFonts w:ascii="Arial" w:eastAsia="MS ??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F1CD2"/>
    <w:pPr>
      <w:ind w:left="720" w:firstLine="0"/>
      <w:contextualSpacing/>
      <w:jc w:val="left"/>
    </w:pPr>
    <w:rPr>
      <w:rFonts w:eastAsia="MS ??"/>
      <w:sz w:val="24"/>
      <w:szCs w:val="24"/>
      <w:lang w:eastAsia="ru-RU"/>
    </w:rPr>
  </w:style>
  <w:style w:type="paragraph" w:styleId="a5">
    <w:name w:val="Normal (Web)"/>
    <w:basedOn w:val="a"/>
    <w:uiPriority w:val="99"/>
    <w:rsid w:val="00F42EC3"/>
    <w:pPr>
      <w:spacing w:before="45" w:after="105"/>
      <w:ind w:firstLine="0"/>
      <w:jc w:val="left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C63C7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672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7238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110E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011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www.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2566</Words>
  <Characters>14632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2</cp:lastModifiedBy>
  <cp:revision>10</cp:revision>
  <cp:lastPrinted>2019-10-29T09:38:00Z</cp:lastPrinted>
  <dcterms:created xsi:type="dcterms:W3CDTF">2020-02-11T11:06:00Z</dcterms:created>
  <dcterms:modified xsi:type="dcterms:W3CDTF">2020-03-24T16:09:00Z</dcterms:modified>
</cp:coreProperties>
</file>