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4471C7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25.12</w:t>
      </w:r>
      <w:r w:rsidR="005B5C7D">
        <w:rPr>
          <w:sz w:val="28"/>
          <w:szCs w:val="28"/>
        </w:rPr>
        <w:t>.2020</w:t>
      </w:r>
      <w:r w:rsidR="00465165">
        <w:rPr>
          <w:sz w:val="28"/>
          <w:szCs w:val="28"/>
        </w:rPr>
        <w:t>г.</w:t>
      </w:r>
      <w:r w:rsidR="00E062CB"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  <w:r w:rsidR="00CE433A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42А,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A97DB0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="004471C7" w:rsidRPr="004471C7">
        <w:rPr>
          <w:sz w:val="28"/>
          <w:szCs w:val="28"/>
        </w:rPr>
        <w:t xml:space="preserve">назначенного на 25.12.2020 г. в 10:00 часов в соответствии с постановлением администрации городского округа </w:t>
      </w:r>
      <w:proofErr w:type="spellStart"/>
      <w:r w:rsidR="004471C7" w:rsidRPr="004471C7">
        <w:rPr>
          <w:sz w:val="28"/>
          <w:szCs w:val="28"/>
        </w:rPr>
        <w:t>Кинель</w:t>
      </w:r>
      <w:proofErr w:type="spellEnd"/>
      <w:r w:rsidR="004471C7" w:rsidRPr="004471C7">
        <w:rPr>
          <w:sz w:val="28"/>
          <w:szCs w:val="28"/>
        </w:rPr>
        <w:t xml:space="preserve"> Самарской области от 11.11.2020г. №2799 «О проведении аукциона на право заключения договора аренды земельного участка»</w:t>
      </w:r>
      <w:r w:rsidRPr="00AF7CBE">
        <w:rPr>
          <w:sz w:val="28"/>
          <w:szCs w:val="28"/>
        </w:rPr>
        <w:t>,</w:t>
      </w:r>
      <w:r w:rsidRPr="00A97DB0">
        <w:rPr>
          <w:sz w:val="28"/>
          <w:szCs w:val="28"/>
        </w:rPr>
        <w:t xml:space="preserve">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533B6" w:rsidRDefault="005B5C7D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Резюкова Г.В</w:t>
      </w:r>
      <w:r w:rsidR="009533B6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Иванова Г.Н.–начальник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8831E4" w:rsidRDefault="008831E4" w:rsidP="008831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8831E4" w:rsidRPr="008831E4" w:rsidRDefault="008831E4" w:rsidP="008831E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1E4">
        <w:rPr>
          <w:rFonts w:ascii="Times New Roman" w:hAnsi="Times New Roman" w:cs="Times New Roman"/>
          <w:sz w:val="28"/>
          <w:szCs w:val="28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533B6" w:rsidRDefault="009533B6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4471C7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AF7CBE" w:rsidRPr="005B42C1" w:rsidRDefault="004471C7" w:rsidP="00AF7CBE">
      <w:pPr>
        <w:ind w:firstLine="567"/>
        <w:jc w:val="both"/>
        <w:rPr>
          <w:sz w:val="28"/>
          <w:szCs w:val="28"/>
        </w:rPr>
      </w:pPr>
      <w:r w:rsidRPr="004471C7">
        <w:rPr>
          <w:sz w:val="28"/>
          <w:szCs w:val="28"/>
        </w:rPr>
        <w:t xml:space="preserve">право заключения договора аренды сроком </w:t>
      </w:r>
      <w:r>
        <w:rPr>
          <w:sz w:val="28"/>
          <w:szCs w:val="28"/>
        </w:rPr>
        <w:t>на 10 (десять) лет на земельный</w:t>
      </w:r>
      <w:r w:rsidRPr="004471C7">
        <w:rPr>
          <w:sz w:val="28"/>
          <w:szCs w:val="28"/>
        </w:rPr>
        <w:t xml:space="preserve"> участок, отнесенный к землям населенных пунктов, площадью 3931,00 </w:t>
      </w:r>
      <w:proofErr w:type="spellStart"/>
      <w:r w:rsidRPr="004471C7">
        <w:rPr>
          <w:sz w:val="28"/>
          <w:szCs w:val="28"/>
        </w:rPr>
        <w:t>кв.м</w:t>
      </w:r>
      <w:proofErr w:type="spellEnd"/>
      <w:r w:rsidRPr="004471C7">
        <w:rPr>
          <w:sz w:val="28"/>
          <w:szCs w:val="28"/>
        </w:rPr>
        <w:t xml:space="preserve">., обеспечение сельскохозяйственного производства, с кадастровым номером 63:03:0211002:793, расположенный по адресу: Самарская область, </w:t>
      </w:r>
      <w:proofErr w:type="spellStart"/>
      <w:r w:rsidRPr="004471C7">
        <w:rPr>
          <w:sz w:val="28"/>
          <w:szCs w:val="28"/>
        </w:rPr>
        <w:t>г.Кинель</w:t>
      </w:r>
      <w:proofErr w:type="spellEnd"/>
      <w:r w:rsidRPr="004471C7">
        <w:rPr>
          <w:sz w:val="28"/>
          <w:szCs w:val="28"/>
        </w:rPr>
        <w:t xml:space="preserve">, </w:t>
      </w:r>
      <w:proofErr w:type="spellStart"/>
      <w:r w:rsidRPr="004471C7">
        <w:rPr>
          <w:sz w:val="28"/>
          <w:szCs w:val="28"/>
        </w:rPr>
        <w:t>ул.Промышленная</w:t>
      </w:r>
      <w:proofErr w:type="spellEnd"/>
      <w:r w:rsidRPr="004471C7">
        <w:rPr>
          <w:sz w:val="28"/>
          <w:szCs w:val="28"/>
        </w:rPr>
        <w:t>, участок 27А, начальная цена ежегодной арендной платы составляет 9000 руб., шаг 270 руб., задаток 1800 руб.</w:t>
      </w:r>
      <w:r w:rsidR="00AF7CBE" w:rsidRPr="005B42C1">
        <w:rPr>
          <w:sz w:val="28"/>
          <w:szCs w:val="28"/>
        </w:rPr>
        <w:t xml:space="preserve"> 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4732"/>
        <w:gridCol w:w="3126"/>
      </w:tblGrid>
      <w:tr w:rsidR="004471C7" w:rsidRPr="00C42E6D" w:rsidTr="008A4EB1">
        <w:tc>
          <w:tcPr>
            <w:tcW w:w="1526" w:type="dxa"/>
            <w:shd w:val="clear" w:color="auto" w:fill="auto"/>
          </w:tcPr>
          <w:p w:rsidR="004471C7" w:rsidRPr="006C724F" w:rsidRDefault="004471C7" w:rsidP="004471C7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4471C7" w:rsidRPr="006C724F" w:rsidRDefault="004471C7" w:rsidP="004471C7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4471C7" w:rsidRPr="006C724F" w:rsidRDefault="004471C7" w:rsidP="004471C7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Вардапетян </w:t>
            </w:r>
            <w:proofErr w:type="spellStart"/>
            <w:r>
              <w:rPr>
                <w:sz w:val="28"/>
                <w:szCs w:val="28"/>
              </w:rPr>
              <w:t>Рафаел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Арамаисович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EA5FC1">
              <w:rPr>
                <w:sz w:val="28"/>
                <w:szCs w:val="28"/>
              </w:rPr>
              <w:t>672</w:t>
            </w:r>
            <w:r>
              <w:rPr>
                <w:sz w:val="28"/>
                <w:szCs w:val="28"/>
              </w:rPr>
              <w:t>, 26.11.2020 г. 11 час. 20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 w:rsidRPr="00EA5FC1">
              <w:rPr>
                <w:sz w:val="28"/>
                <w:szCs w:val="28"/>
              </w:rPr>
              <w:t>№67</w:t>
            </w:r>
            <w:r>
              <w:rPr>
                <w:sz w:val="28"/>
                <w:szCs w:val="28"/>
              </w:rPr>
              <w:t>3, 01.12.2020 г. 10 час.35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Лачинов </w:t>
            </w:r>
            <w:proofErr w:type="spellStart"/>
            <w:r>
              <w:rPr>
                <w:sz w:val="28"/>
                <w:szCs w:val="28"/>
              </w:rPr>
              <w:t>Заур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Вагиф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 w:rsidRPr="00EA5FC1">
              <w:rPr>
                <w:sz w:val="28"/>
                <w:szCs w:val="28"/>
              </w:rPr>
              <w:t>№67</w:t>
            </w:r>
            <w:r>
              <w:rPr>
                <w:sz w:val="28"/>
                <w:szCs w:val="28"/>
              </w:rPr>
              <w:t>4</w:t>
            </w:r>
            <w:r w:rsidRPr="00EA5F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09.12.2020 г. 10 час. 33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«Статус» 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№675, 11.12.2020г. 11 час. 50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«Вектор» 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№676, 11.12.2020г. 11 час. 55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Бочкарева Лариса Владимировна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№677, 15.12.2020г. 13 час. 15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Мария Евгеньевна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№678, 15.12.2020г. 13 час. 17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№679, 17.12.2020 г. 13 час. 30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Дыбов Андрей Викторович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№680, 18.12.2020 г. 09 час. 06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Ирина Владимировна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№681, </w:t>
            </w:r>
            <w:r w:rsidRPr="00073F22">
              <w:rPr>
                <w:sz w:val="28"/>
                <w:szCs w:val="28"/>
              </w:rPr>
              <w:t xml:space="preserve">18.12.2020 г. 09 час. </w:t>
            </w:r>
            <w:r>
              <w:rPr>
                <w:sz w:val="28"/>
                <w:szCs w:val="28"/>
              </w:rPr>
              <w:t>10</w:t>
            </w:r>
            <w:r w:rsidRPr="00073F22">
              <w:rPr>
                <w:sz w:val="28"/>
                <w:szCs w:val="28"/>
              </w:rPr>
              <w:t xml:space="preserve">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 Александр Николаевич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№682, 18.12.2020 г. 09 час. 45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Виктор Сергеевич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№683, 18.12.2020 г. 09 час. 50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«Спектр» 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№684, </w:t>
            </w:r>
            <w:r w:rsidRPr="004661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466107">
              <w:rPr>
                <w:sz w:val="28"/>
                <w:szCs w:val="28"/>
              </w:rPr>
              <w:t>.12.2020 г.</w:t>
            </w:r>
            <w:r w:rsidRPr="00A50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A509FA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0</w:t>
            </w:r>
            <w:r w:rsidRPr="00A509FA">
              <w:rPr>
                <w:sz w:val="28"/>
                <w:szCs w:val="28"/>
              </w:rPr>
              <w:t>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«ПКЦ «АРС»</w:t>
            </w:r>
          </w:p>
        </w:tc>
        <w:tc>
          <w:tcPr>
            <w:tcW w:w="3191" w:type="dxa"/>
            <w:shd w:val="clear" w:color="auto" w:fill="auto"/>
          </w:tcPr>
          <w:p w:rsidR="004471C7" w:rsidRPr="00A509FA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№685, 18.12.2020 г. 10 час. 02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Черек Александр Алексеевич</w:t>
            </w:r>
          </w:p>
        </w:tc>
        <w:tc>
          <w:tcPr>
            <w:tcW w:w="3191" w:type="dxa"/>
            <w:shd w:val="clear" w:color="auto" w:fill="auto"/>
          </w:tcPr>
          <w:p w:rsidR="004471C7" w:rsidRPr="00A509FA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№686, 18.12.2020 г. 10 час. 05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Жавинов</w:t>
            </w:r>
            <w:proofErr w:type="spellEnd"/>
            <w:r>
              <w:rPr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191" w:type="dxa"/>
            <w:shd w:val="clear" w:color="auto" w:fill="auto"/>
          </w:tcPr>
          <w:p w:rsidR="004471C7" w:rsidRPr="00A509FA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№687, 18.12.2020 г. 11 час. 50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Прилепская</w:t>
            </w:r>
            <w:proofErr w:type="spellEnd"/>
            <w:r>
              <w:rPr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3191" w:type="dxa"/>
            <w:shd w:val="clear" w:color="auto" w:fill="auto"/>
          </w:tcPr>
          <w:p w:rsidR="004471C7" w:rsidRPr="00A509FA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№688, 18.12.2020 г. 13 час.20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Салманов Александр Николаевич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№689, 18.12.2020 г. 13 час. 22 мин. 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Бородачев</w:t>
            </w:r>
            <w:proofErr w:type="spellEnd"/>
            <w:r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№690, 18.12.2020 г. 15 час. 10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 Виталий Олегович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№691, 18.12.2020 г. 15 час. 15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Акбулатов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Хизир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Сайдаевич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№692, 18.12.2020 г. 15 час. 25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Володина Екатерина Леонидовна 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№693, 18.12.2020 г. 15 час. 30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Сурков Николай Юрьевич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№694, 18.12.2020 г. 15 час. 35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Славкин Денис Викторович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№695, 21.12.2020 г. 08 час. 30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 Станислав Леонидович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№696, 21.12.2020 г. 08 час. 35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Мячин</w:t>
            </w:r>
            <w:proofErr w:type="spellEnd"/>
            <w:r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№697, 21.12.2020 09 час. 11 мин.</w:t>
            </w:r>
          </w:p>
        </w:tc>
      </w:tr>
      <w:tr w:rsidR="004471C7" w:rsidRPr="00C42E6D" w:rsidTr="008A4EB1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54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proofErr w:type="spellStart"/>
            <w:r w:rsidRPr="00EA5FC1">
              <w:rPr>
                <w:sz w:val="28"/>
                <w:szCs w:val="28"/>
              </w:rPr>
              <w:t>Лукъянов</w:t>
            </w:r>
            <w:proofErr w:type="spellEnd"/>
            <w:r w:rsidRPr="00EA5FC1"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3191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698, 21.12.2020 г. 09 час. 17 мин.</w:t>
            </w:r>
          </w:p>
        </w:tc>
      </w:tr>
    </w:tbl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837052" w:rsidRPr="00712D64" w:rsidTr="00B011FC">
        <w:tc>
          <w:tcPr>
            <w:tcW w:w="1526" w:type="dxa"/>
            <w:shd w:val="clear" w:color="auto" w:fill="auto"/>
          </w:tcPr>
          <w:p w:rsidR="00837052" w:rsidRPr="00712D64" w:rsidRDefault="00837052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shd w:val="clear" w:color="auto" w:fill="auto"/>
          </w:tcPr>
          <w:p w:rsidR="00837052" w:rsidRPr="006C724F" w:rsidRDefault="00C825FB" w:rsidP="00B3154A">
            <w:pPr>
              <w:jc w:val="both"/>
              <w:rPr>
                <w:sz w:val="28"/>
                <w:szCs w:val="28"/>
              </w:rPr>
            </w:pPr>
            <w:r w:rsidRPr="00C825FB">
              <w:rPr>
                <w:sz w:val="28"/>
                <w:szCs w:val="28"/>
              </w:rPr>
              <w:t xml:space="preserve">Вардапетян </w:t>
            </w:r>
            <w:proofErr w:type="spellStart"/>
            <w:r w:rsidRPr="00C825FB">
              <w:rPr>
                <w:sz w:val="28"/>
                <w:szCs w:val="28"/>
              </w:rPr>
              <w:t>Рафаел</w:t>
            </w:r>
            <w:proofErr w:type="spellEnd"/>
            <w:r w:rsidRPr="00C825FB">
              <w:rPr>
                <w:sz w:val="28"/>
                <w:szCs w:val="28"/>
              </w:rPr>
              <w:t xml:space="preserve"> </w:t>
            </w:r>
            <w:proofErr w:type="spellStart"/>
            <w:r w:rsidRPr="00C825FB">
              <w:rPr>
                <w:sz w:val="28"/>
                <w:szCs w:val="28"/>
              </w:rPr>
              <w:t>Арамаисович</w:t>
            </w:r>
            <w:proofErr w:type="spellEnd"/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Pr="00347CD2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D658B" w:rsidRDefault="00C825FB" w:rsidP="008D658B">
            <w:proofErr w:type="spellStart"/>
            <w:r w:rsidRPr="00C825FB">
              <w:rPr>
                <w:sz w:val="28"/>
                <w:szCs w:val="28"/>
              </w:rPr>
              <w:t>Жариков</w:t>
            </w:r>
            <w:proofErr w:type="spellEnd"/>
            <w:r w:rsidRPr="00C825FB">
              <w:rPr>
                <w:sz w:val="28"/>
                <w:szCs w:val="28"/>
              </w:rPr>
              <w:t xml:space="preserve"> Константин Валерьевич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Pr="00347CD2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7B10C8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7B10C8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7B10C8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7B10C8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7B10C8">
              <w:rPr>
                <w:sz w:val="28"/>
                <w:szCs w:val="28"/>
              </w:rPr>
              <w:t>Не явился</w:t>
            </w:r>
          </w:p>
        </w:tc>
      </w:tr>
      <w:tr w:rsidR="00867C55" w:rsidRPr="00712D64" w:rsidTr="00B011FC">
        <w:tc>
          <w:tcPr>
            <w:tcW w:w="1526" w:type="dxa"/>
            <w:shd w:val="clear" w:color="auto" w:fill="auto"/>
          </w:tcPr>
          <w:p w:rsidR="00867C55" w:rsidRDefault="00867C55" w:rsidP="00867C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867C55" w:rsidRDefault="004471C7" w:rsidP="008D658B">
            <w:r w:rsidRPr="007B10C8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233833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233833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233833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233833">
              <w:rPr>
                <w:sz w:val="28"/>
                <w:szCs w:val="28"/>
              </w:rPr>
              <w:t>Не явился</w:t>
            </w:r>
          </w:p>
        </w:tc>
      </w:tr>
      <w:tr w:rsidR="008D658B" w:rsidRPr="00712D64" w:rsidTr="00B011FC">
        <w:tc>
          <w:tcPr>
            <w:tcW w:w="1526" w:type="dxa"/>
            <w:shd w:val="clear" w:color="auto" w:fill="auto"/>
          </w:tcPr>
          <w:p w:rsidR="008D658B" w:rsidRDefault="008D658B" w:rsidP="008D6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8D658B" w:rsidRDefault="008D658B" w:rsidP="008D658B">
            <w:r w:rsidRPr="00233833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4471C7">
        <w:trPr>
          <w:trHeight w:val="356"/>
        </w:trPr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  <w:tr w:rsidR="004471C7" w:rsidRPr="00712D64" w:rsidTr="00B011FC">
        <w:tc>
          <w:tcPr>
            <w:tcW w:w="1526" w:type="dxa"/>
            <w:shd w:val="clear" w:color="auto" w:fill="auto"/>
          </w:tcPr>
          <w:p w:rsidR="004471C7" w:rsidRDefault="004471C7" w:rsidP="00447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080" w:type="dxa"/>
            <w:shd w:val="clear" w:color="auto" w:fill="auto"/>
          </w:tcPr>
          <w:p w:rsidR="004471C7" w:rsidRDefault="004471C7" w:rsidP="004471C7">
            <w:r w:rsidRPr="00180EAA">
              <w:rPr>
                <w:sz w:val="28"/>
                <w:szCs w:val="28"/>
              </w:rPr>
              <w:t>Не явился</w:t>
            </w:r>
          </w:p>
        </w:tc>
      </w:tr>
    </w:tbl>
    <w:p w:rsidR="00487CE5" w:rsidRDefault="004471C7" w:rsidP="00487CE5">
      <w:pPr>
        <w:spacing w:line="324" w:lineRule="exact"/>
        <w:ind w:left="200" w:firstLine="540"/>
        <w:jc w:val="both"/>
        <w:rPr>
          <w:sz w:val="28"/>
          <w:szCs w:val="26"/>
        </w:rPr>
      </w:pPr>
      <w:r w:rsidRPr="004471C7">
        <w:rPr>
          <w:sz w:val="28"/>
          <w:szCs w:val="26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www.torgi.gov.ru </w:t>
      </w:r>
      <w:proofErr w:type="gramStart"/>
      <w:r w:rsidRPr="004471C7">
        <w:rPr>
          <w:sz w:val="28"/>
          <w:szCs w:val="26"/>
        </w:rPr>
        <w:t>С</w:t>
      </w:r>
      <w:proofErr w:type="gramEnd"/>
      <w:r w:rsidRPr="004471C7">
        <w:rPr>
          <w:sz w:val="28"/>
          <w:szCs w:val="26"/>
        </w:rPr>
        <w:t xml:space="preserve"> проектом договора купли-продажи (аренды) земельного участка участники торгов ознакомлены.</w:t>
      </w:r>
    </w:p>
    <w:p w:rsidR="004471C7" w:rsidRPr="004471C7" w:rsidRDefault="004471C7" w:rsidP="004471C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bookmarkStart w:id="0" w:name="bookmark0"/>
      <w:r w:rsidRPr="004471C7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4471C7" w:rsidRPr="004471C7" w:rsidTr="00954AE9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1C7">
              <w:rPr>
                <w:sz w:val="28"/>
                <w:szCs w:val="28"/>
              </w:rPr>
              <w:t>№</w:t>
            </w:r>
          </w:p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1C7">
              <w:rPr>
                <w:sz w:val="28"/>
                <w:szCs w:val="28"/>
              </w:rPr>
              <w:t xml:space="preserve">участника аукциона  </w:t>
            </w:r>
          </w:p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471C7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471C7">
              <w:rPr>
                <w:bCs/>
                <w:sz w:val="28"/>
                <w:szCs w:val="28"/>
              </w:rPr>
              <w:t xml:space="preserve">Наименование и местонахождение юридического лица или Ф.И.О. и место жительства участника </w:t>
            </w:r>
          </w:p>
        </w:tc>
      </w:tr>
      <w:tr w:rsidR="004471C7" w:rsidRPr="004471C7" w:rsidTr="00954AE9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71C7" w:rsidRPr="004471C7" w:rsidRDefault="00B80C7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71C7" w:rsidRPr="004471C7" w:rsidRDefault="004471C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C7" w:rsidRPr="004471C7" w:rsidRDefault="00B80C77" w:rsidP="00447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 руб. 00 коп.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1A9" w:rsidRDefault="002601A9" w:rsidP="00B80C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80C77" w:rsidRPr="00B80C77" w:rsidRDefault="00B80C77" w:rsidP="00B80C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80C77">
              <w:rPr>
                <w:sz w:val="28"/>
                <w:szCs w:val="28"/>
              </w:rPr>
              <w:t>Жариков</w:t>
            </w:r>
            <w:proofErr w:type="spellEnd"/>
            <w:r w:rsidRPr="00B80C77">
              <w:rPr>
                <w:sz w:val="28"/>
                <w:szCs w:val="28"/>
              </w:rPr>
              <w:t xml:space="preserve"> Константин Валерьевич </w:t>
            </w:r>
          </w:p>
          <w:p w:rsidR="004471C7" w:rsidRDefault="00B80C77" w:rsidP="00B80C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C77">
              <w:rPr>
                <w:sz w:val="28"/>
                <w:szCs w:val="28"/>
              </w:rPr>
              <w:t>г. Самара, ул. Солнечная, 25-180</w:t>
            </w:r>
          </w:p>
          <w:p w:rsidR="00B80C77" w:rsidRPr="004471C7" w:rsidRDefault="00B80C77" w:rsidP="00B80C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50894" w:rsidRPr="004471C7" w:rsidTr="00954AE9">
        <w:trPr>
          <w:trHeight w:val="13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894" w:rsidRPr="004471C7" w:rsidRDefault="00250894" w:rsidP="00250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50894" w:rsidRPr="004471C7" w:rsidRDefault="00250894" w:rsidP="00250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50894" w:rsidRPr="004471C7" w:rsidRDefault="00250894" w:rsidP="00250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50894" w:rsidRPr="004471C7" w:rsidRDefault="00250894" w:rsidP="00250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894" w:rsidRPr="004471C7" w:rsidRDefault="00250894" w:rsidP="00250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9270 руб. 00 коп.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894" w:rsidRDefault="00250894" w:rsidP="00250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C77">
              <w:rPr>
                <w:sz w:val="28"/>
                <w:szCs w:val="28"/>
              </w:rPr>
              <w:t xml:space="preserve">Вардапетян </w:t>
            </w:r>
            <w:proofErr w:type="spellStart"/>
            <w:r w:rsidRPr="00B80C77">
              <w:rPr>
                <w:sz w:val="28"/>
                <w:szCs w:val="28"/>
              </w:rPr>
              <w:t>Рафаел</w:t>
            </w:r>
            <w:proofErr w:type="spellEnd"/>
            <w:r w:rsidRPr="00B80C77">
              <w:rPr>
                <w:sz w:val="28"/>
                <w:szCs w:val="28"/>
              </w:rPr>
              <w:t xml:space="preserve"> </w:t>
            </w:r>
            <w:proofErr w:type="spellStart"/>
            <w:r w:rsidRPr="00B80C77">
              <w:rPr>
                <w:sz w:val="28"/>
                <w:szCs w:val="28"/>
              </w:rPr>
              <w:t>Арамаисович</w:t>
            </w:r>
            <w:proofErr w:type="spellEnd"/>
          </w:p>
          <w:p w:rsidR="00250894" w:rsidRPr="004471C7" w:rsidRDefault="00250894" w:rsidP="00250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г.Кинель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ул.Маяковского</w:t>
            </w:r>
            <w:proofErr w:type="spellEnd"/>
            <w:r>
              <w:rPr>
                <w:sz w:val="28"/>
                <w:szCs w:val="28"/>
              </w:rPr>
              <w:t>, 65 - 21</w:t>
            </w:r>
          </w:p>
        </w:tc>
      </w:tr>
    </w:tbl>
    <w:p w:rsidR="004471C7" w:rsidRDefault="004471C7" w:rsidP="00487CE5">
      <w:pPr>
        <w:keepNext/>
        <w:keepLines/>
        <w:spacing w:line="324" w:lineRule="exact"/>
        <w:ind w:left="3620"/>
        <w:outlineLvl w:val="0"/>
        <w:rPr>
          <w:b/>
          <w:spacing w:val="10"/>
          <w:sz w:val="28"/>
          <w:szCs w:val="25"/>
        </w:rPr>
      </w:pPr>
    </w:p>
    <w:bookmarkEnd w:id="0"/>
    <w:p w:rsidR="004471C7" w:rsidRPr="004471C7" w:rsidRDefault="00C825FB" w:rsidP="004471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Комиссия признала</w:t>
      </w:r>
      <w:r w:rsidR="004471C7" w:rsidRPr="004471C7">
        <w:rPr>
          <w:rFonts w:ascii="Times New Roman CYR" w:hAnsi="Times New Roman CYR" w:cs="Times New Roman CYR"/>
          <w:b/>
          <w:sz w:val="28"/>
          <w:szCs w:val="28"/>
        </w:rPr>
        <w:t xml:space="preserve"> победителем аукциона участника </w:t>
      </w:r>
      <w:r w:rsidR="004471C7" w:rsidRPr="004471C7">
        <w:rPr>
          <w:b/>
          <w:sz w:val="28"/>
          <w:szCs w:val="28"/>
        </w:rPr>
        <w:t>(</w:t>
      </w:r>
      <w:r w:rsidR="004471C7" w:rsidRPr="004471C7">
        <w:rPr>
          <w:sz w:val="28"/>
          <w:szCs w:val="28"/>
        </w:rPr>
        <w:t xml:space="preserve">Наименование </w:t>
      </w:r>
      <w:r w:rsidR="004471C7">
        <w:rPr>
          <w:bCs/>
          <w:sz w:val="28"/>
          <w:szCs w:val="28"/>
        </w:rPr>
        <w:t xml:space="preserve">или </w:t>
      </w:r>
      <w:r w:rsidR="004471C7" w:rsidRPr="004471C7">
        <w:rPr>
          <w:bCs/>
          <w:sz w:val="28"/>
          <w:szCs w:val="28"/>
        </w:rPr>
        <w:t>Ф.И.О. участника</w:t>
      </w:r>
      <w:r w:rsidR="004471C7" w:rsidRPr="004471C7">
        <w:rPr>
          <w:sz w:val="28"/>
          <w:szCs w:val="28"/>
        </w:rPr>
        <w:t xml:space="preserve">) </w:t>
      </w:r>
      <w:r w:rsidR="004471C7"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Вардапетяна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Рафаела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Арамаисовича</w:t>
      </w:r>
      <w:proofErr w:type="spellEnd"/>
      <w:r w:rsidR="004471C7" w:rsidRPr="004471C7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4471C7" w:rsidRPr="004471C7" w:rsidRDefault="004471C7" w:rsidP="004471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471C7">
        <w:rPr>
          <w:rFonts w:ascii="Times New Roman CYR" w:hAnsi="Times New Roman CYR" w:cs="Times New Roman CYR"/>
          <w:sz w:val="28"/>
          <w:szCs w:val="28"/>
        </w:rPr>
        <w:t xml:space="preserve">Адрес места жительства </w:t>
      </w:r>
      <w:proofErr w:type="gramStart"/>
      <w:r w:rsidRPr="004471C7">
        <w:rPr>
          <w:rFonts w:ascii="Times New Roman CYR" w:hAnsi="Times New Roman CYR" w:cs="Times New Roman CYR"/>
          <w:sz w:val="28"/>
          <w:szCs w:val="28"/>
        </w:rPr>
        <w:t xml:space="preserve">гражданина:  </w:t>
      </w:r>
      <w:proofErr w:type="spellStart"/>
      <w:r w:rsidR="00B80C77" w:rsidRPr="00B80C77">
        <w:rPr>
          <w:rFonts w:ascii="Times New Roman CYR" w:hAnsi="Times New Roman CYR" w:cs="Times New Roman CYR"/>
          <w:sz w:val="28"/>
          <w:szCs w:val="28"/>
        </w:rPr>
        <w:t>г.Кинель</w:t>
      </w:r>
      <w:proofErr w:type="spellEnd"/>
      <w:proofErr w:type="gramEnd"/>
      <w:r w:rsidR="00B80C77" w:rsidRPr="00B80C77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B80C77" w:rsidRPr="00B80C77">
        <w:rPr>
          <w:rFonts w:ascii="Times New Roman CYR" w:hAnsi="Times New Roman CYR" w:cs="Times New Roman CYR"/>
          <w:sz w:val="28"/>
          <w:szCs w:val="28"/>
        </w:rPr>
        <w:t>ул.Маяковского</w:t>
      </w:r>
      <w:proofErr w:type="spellEnd"/>
      <w:r w:rsidR="00B80C77" w:rsidRPr="00B80C77">
        <w:rPr>
          <w:rFonts w:ascii="Times New Roman CYR" w:hAnsi="Times New Roman CYR" w:cs="Times New Roman CYR"/>
          <w:sz w:val="28"/>
          <w:szCs w:val="28"/>
        </w:rPr>
        <w:t>, 65 - 21</w:t>
      </w:r>
      <w:r w:rsidRPr="004471C7">
        <w:rPr>
          <w:sz w:val="28"/>
          <w:szCs w:val="28"/>
        </w:rPr>
        <w:t>.</w:t>
      </w:r>
    </w:p>
    <w:p w:rsidR="004471C7" w:rsidRPr="004471C7" w:rsidRDefault="004471C7" w:rsidP="004471C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471C7">
        <w:rPr>
          <w:rFonts w:ascii="Times New Roman CYR" w:hAnsi="Times New Roman CYR" w:cs="Times New Roman CYR"/>
          <w:sz w:val="28"/>
          <w:szCs w:val="28"/>
        </w:rPr>
        <w:t>По результатам аукциона определен ежегодный размер арендной платы земельного участка</w:t>
      </w:r>
      <w:r w:rsidRPr="004471C7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4471C7">
        <w:rPr>
          <w:rFonts w:ascii="Times New Roman CYR" w:hAnsi="Times New Roman CYR" w:cs="Times New Roman CYR"/>
          <w:sz w:val="28"/>
          <w:szCs w:val="28"/>
        </w:rPr>
        <w:t xml:space="preserve">в размере: </w:t>
      </w:r>
      <w:r w:rsidR="00B80C77" w:rsidRPr="00B80C77">
        <w:rPr>
          <w:sz w:val="28"/>
          <w:szCs w:val="28"/>
          <w:u w:val="single"/>
        </w:rPr>
        <w:t>9270</w:t>
      </w:r>
      <w:r w:rsidR="00DB4B4F">
        <w:rPr>
          <w:sz w:val="28"/>
          <w:szCs w:val="28"/>
          <w:u w:val="single"/>
        </w:rPr>
        <w:t xml:space="preserve"> (девять тысяч двести семьдесят)</w:t>
      </w:r>
      <w:r w:rsidR="00B80C77" w:rsidRPr="00B80C77">
        <w:rPr>
          <w:sz w:val="28"/>
          <w:szCs w:val="28"/>
          <w:u w:val="single"/>
        </w:rPr>
        <w:t xml:space="preserve"> рублей 00 копеек</w:t>
      </w:r>
      <w:r w:rsidRPr="004471C7">
        <w:rPr>
          <w:sz w:val="28"/>
          <w:szCs w:val="28"/>
        </w:rPr>
        <w:t>.</w:t>
      </w:r>
    </w:p>
    <w:p w:rsidR="004471C7" w:rsidRPr="004471C7" w:rsidRDefault="004471C7" w:rsidP="004471C7">
      <w:pPr>
        <w:spacing w:line="324" w:lineRule="exact"/>
        <w:ind w:left="1080"/>
        <w:jc w:val="both"/>
        <w:rPr>
          <w:sz w:val="28"/>
          <w:szCs w:val="26"/>
        </w:rPr>
      </w:pPr>
      <w:r w:rsidRPr="004471C7">
        <w:rPr>
          <w:sz w:val="28"/>
          <w:szCs w:val="26"/>
        </w:rPr>
        <w:t>Настоящий протокол составлен в 2-х экземплярах.</w:t>
      </w:r>
    </w:p>
    <w:p w:rsidR="004471C7" w:rsidRDefault="004471C7" w:rsidP="004471C7">
      <w:pPr>
        <w:jc w:val="center"/>
        <w:rPr>
          <w:b/>
          <w:sz w:val="28"/>
          <w:szCs w:val="28"/>
        </w:rPr>
      </w:pPr>
      <w:r w:rsidRPr="004471C7">
        <w:rPr>
          <w:b/>
          <w:sz w:val="28"/>
          <w:szCs w:val="28"/>
        </w:rPr>
        <w:t>Подписи:</w:t>
      </w:r>
    </w:p>
    <w:p w:rsidR="00B80C77" w:rsidRPr="004471C7" w:rsidRDefault="00B80C77" w:rsidP="004471C7">
      <w:pPr>
        <w:jc w:val="center"/>
        <w:rPr>
          <w:b/>
          <w:sz w:val="28"/>
          <w:szCs w:val="28"/>
        </w:rPr>
      </w:pPr>
    </w:p>
    <w:p w:rsidR="004471C7" w:rsidRPr="004471C7" w:rsidRDefault="004471C7" w:rsidP="004471C7">
      <w:pPr>
        <w:jc w:val="both"/>
        <w:rPr>
          <w:sz w:val="28"/>
          <w:szCs w:val="28"/>
        </w:rPr>
      </w:pPr>
      <w:r w:rsidRPr="004471C7">
        <w:rPr>
          <w:sz w:val="28"/>
          <w:szCs w:val="28"/>
        </w:rPr>
        <w:t>Председатель комиссии: _____________________ Резюкова Г.В.</w:t>
      </w:r>
    </w:p>
    <w:p w:rsidR="004471C7" w:rsidRPr="004471C7" w:rsidRDefault="004471C7" w:rsidP="004471C7">
      <w:pPr>
        <w:jc w:val="both"/>
        <w:rPr>
          <w:sz w:val="28"/>
          <w:szCs w:val="28"/>
        </w:rPr>
      </w:pPr>
    </w:p>
    <w:p w:rsidR="004471C7" w:rsidRPr="004471C7" w:rsidRDefault="004471C7" w:rsidP="004471C7">
      <w:pPr>
        <w:jc w:val="both"/>
        <w:rPr>
          <w:sz w:val="28"/>
          <w:szCs w:val="28"/>
        </w:rPr>
      </w:pPr>
      <w:r w:rsidRPr="004471C7">
        <w:rPr>
          <w:sz w:val="28"/>
          <w:szCs w:val="28"/>
        </w:rPr>
        <w:t xml:space="preserve">                                           _____________________ Иванова Г.Н.</w:t>
      </w:r>
    </w:p>
    <w:p w:rsidR="004471C7" w:rsidRPr="004471C7" w:rsidRDefault="004471C7" w:rsidP="004471C7">
      <w:pPr>
        <w:jc w:val="both"/>
        <w:rPr>
          <w:sz w:val="28"/>
          <w:szCs w:val="28"/>
        </w:rPr>
      </w:pPr>
    </w:p>
    <w:p w:rsidR="004471C7" w:rsidRPr="004471C7" w:rsidRDefault="004471C7" w:rsidP="004471C7">
      <w:pPr>
        <w:jc w:val="both"/>
        <w:rPr>
          <w:sz w:val="28"/>
          <w:szCs w:val="28"/>
        </w:rPr>
      </w:pPr>
      <w:r w:rsidRPr="004471C7">
        <w:rPr>
          <w:sz w:val="28"/>
          <w:szCs w:val="28"/>
        </w:rPr>
        <w:t xml:space="preserve">                                          _____________________ Александров В.А.</w:t>
      </w:r>
    </w:p>
    <w:p w:rsidR="004471C7" w:rsidRPr="004471C7" w:rsidRDefault="004471C7" w:rsidP="004471C7">
      <w:pPr>
        <w:jc w:val="both"/>
        <w:rPr>
          <w:sz w:val="28"/>
          <w:szCs w:val="28"/>
        </w:rPr>
      </w:pPr>
    </w:p>
    <w:p w:rsidR="004471C7" w:rsidRPr="004471C7" w:rsidRDefault="004471C7" w:rsidP="004471C7">
      <w:pPr>
        <w:jc w:val="both"/>
        <w:rPr>
          <w:sz w:val="28"/>
          <w:szCs w:val="28"/>
        </w:rPr>
      </w:pPr>
      <w:r w:rsidRPr="004471C7">
        <w:rPr>
          <w:sz w:val="28"/>
          <w:szCs w:val="28"/>
        </w:rPr>
        <w:t xml:space="preserve">                                          _____________________ </w:t>
      </w:r>
      <w:proofErr w:type="spellStart"/>
      <w:r w:rsidRPr="004471C7">
        <w:rPr>
          <w:sz w:val="28"/>
          <w:szCs w:val="28"/>
        </w:rPr>
        <w:t>Индерейкин</w:t>
      </w:r>
      <w:proofErr w:type="spellEnd"/>
      <w:r w:rsidRPr="004471C7">
        <w:rPr>
          <w:sz w:val="28"/>
          <w:szCs w:val="28"/>
        </w:rPr>
        <w:t xml:space="preserve"> А.Н.</w:t>
      </w:r>
    </w:p>
    <w:p w:rsidR="004471C7" w:rsidRPr="004471C7" w:rsidRDefault="004471C7" w:rsidP="004471C7">
      <w:pPr>
        <w:jc w:val="both"/>
        <w:rPr>
          <w:sz w:val="28"/>
          <w:szCs w:val="28"/>
        </w:rPr>
      </w:pPr>
    </w:p>
    <w:p w:rsidR="004471C7" w:rsidRPr="004471C7" w:rsidRDefault="004471C7" w:rsidP="004471C7">
      <w:pPr>
        <w:jc w:val="both"/>
        <w:rPr>
          <w:sz w:val="28"/>
          <w:szCs w:val="28"/>
        </w:rPr>
      </w:pPr>
      <w:r w:rsidRPr="004471C7">
        <w:rPr>
          <w:sz w:val="28"/>
          <w:szCs w:val="28"/>
        </w:rPr>
        <w:t xml:space="preserve">                                          _____________________ Ефременко С.В.</w:t>
      </w:r>
    </w:p>
    <w:p w:rsidR="004471C7" w:rsidRPr="004471C7" w:rsidRDefault="004471C7" w:rsidP="004471C7">
      <w:pPr>
        <w:jc w:val="both"/>
        <w:rPr>
          <w:sz w:val="28"/>
          <w:szCs w:val="28"/>
        </w:rPr>
      </w:pPr>
    </w:p>
    <w:p w:rsidR="004471C7" w:rsidRPr="004471C7" w:rsidRDefault="004471C7" w:rsidP="004471C7">
      <w:pPr>
        <w:jc w:val="both"/>
        <w:rPr>
          <w:sz w:val="28"/>
          <w:szCs w:val="28"/>
        </w:rPr>
      </w:pPr>
    </w:p>
    <w:p w:rsidR="004471C7" w:rsidRPr="004471C7" w:rsidRDefault="004471C7" w:rsidP="004471C7">
      <w:pPr>
        <w:jc w:val="both"/>
        <w:rPr>
          <w:b/>
          <w:sz w:val="28"/>
          <w:szCs w:val="28"/>
        </w:rPr>
      </w:pPr>
    </w:p>
    <w:p w:rsidR="00CC2937" w:rsidRDefault="004471C7" w:rsidP="004471C7">
      <w:pPr>
        <w:spacing w:line="324" w:lineRule="exact"/>
        <w:ind w:left="1080"/>
        <w:rPr>
          <w:sz w:val="28"/>
          <w:szCs w:val="26"/>
        </w:rPr>
      </w:pPr>
      <w:r w:rsidRPr="004471C7"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p w:rsidR="00867C55" w:rsidRDefault="00867C55" w:rsidP="00CC2937">
      <w:pPr>
        <w:spacing w:line="324" w:lineRule="exact"/>
        <w:ind w:left="1080"/>
        <w:rPr>
          <w:sz w:val="28"/>
          <w:szCs w:val="26"/>
        </w:rPr>
      </w:pPr>
    </w:p>
    <w:p w:rsidR="00867C55" w:rsidRDefault="00867C55" w:rsidP="00CC2937">
      <w:pPr>
        <w:spacing w:line="324" w:lineRule="exact"/>
        <w:ind w:left="1080"/>
        <w:rPr>
          <w:sz w:val="28"/>
          <w:szCs w:val="26"/>
        </w:rPr>
      </w:pPr>
    </w:p>
    <w:sectPr w:rsidR="00867C55" w:rsidSect="00A97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99"/>
    <w:rsid w:val="00192A9B"/>
    <w:rsid w:val="001D2F75"/>
    <w:rsid w:val="00230B46"/>
    <w:rsid w:val="00247259"/>
    <w:rsid w:val="00250894"/>
    <w:rsid w:val="002601A9"/>
    <w:rsid w:val="002746B1"/>
    <w:rsid w:val="0028606F"/>
    <w:rsid w:val="002D691C"/>
    <w:rsid w:val="004471C7"/>
    <w:rsid w:val="00465165"/>
    <w:rsid w:val="00485E94"/>
    <w:rsid w:val="00487CE5"/>
    <w:rsid w:val="004A72EE"/>
    <w:rsid w:val="0052225A"/>
    <w:rsid w:val="00523772"/>
    <w:rsid w:val="005279B2"/>
    <w:rsid w:val="005B5C7D"/>
    <w:rsid w:val="00690034"/>
    <w:rsid w:val="006C7ED7"/>
    <w:rsid w:val="00837052"/>
    <w:rsid w:val="00867C55"/>
    <w:rsid w:val="00873B99"/>
    <w:rsid w:val="008831E4"/>
    <w:rsid w:val="008D658B"/>
    <w:rsid w:val="008F0EA8"/>
    <w:rsid w:val="00946686"/>
    <w:rsid w:val="009533B6"/>
    <w:rsid w:val="00A97DB0"/>
    <w:rsid w:val="00AF7CBE"/>
    <w:rsid w:val="00B80C77"/>
    <w:rsid w:val="00C242DA"/>
    <w:rsid w:val="00C825FB"/>
    <w:rsid w:val="00CC2937"/>
    <w:rsid w:val="00CD28DE"/>
    <w:rsid w:val="00CE433A"/>
    <w:rsid w:val="00D33073"/>
    <w:rsid w:val="00D55033"/>
    <w:rsid w:val="00D61E91"/>
    <w:rsid w:val="00DB4B4F"/>
    <w:rsid w:val="00E062CB"/>
    <w:rsid w:val="00E85D89"/>
    <w:rsid w:val="00EE38F0"/>
    <w:rsid w:val="00EF38AE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A9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7</cp:revision>
  <cp:lastPrinted>2020-09-22T04:18:00Z</cp:lastPrinted>
  <dcterms:created xsi:type="dcterms:W3CDTF">2020-12-25T04:06:00Z</dcterms:created>
  <dcterms:modified xsi:type="dcterms:W3CDTF">2020-12-25T07:54:00Z</dcterms:modified>
</cp:coreProperties>
</file>