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E53772">
        <w:rPr>
          <w:sz w:val="22"/>
          <w:szCs w:val="22"/>
        </w:rPr>
        <w:t>27.07.22г.</w:t>
      </w:r>
      <w:r w:rsidR="008C56F6" w:rsidRPr="006E59B3">
        <w:rPr>
          <w:sz w:val="22"/>
          <w:szCs w:val="22"/>
        </w:rPr>
        <w:t xml:space="preserve"> №</w:t>
      </w:r>
      <w:r w:rsidR="00E53772">
        <w:rPr>
          <w:sz w:val="22"/>
          <w:szCs w:val="22"/>
        </w:rPr>
        <w:t>2067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C71525" w:rsidRPr="003661BD" w:rsidRDefault="004322D3" w:rsidP="00C7152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="00C71525" w:rsidRPr="007A1D58">
        <w:rPr>
          <w:sz w:val="24"/>
          <w:szCs w:val="24"/>
        </w:rPr>
        <w:t xml:space="preserve">право </w:t>
      </w:r>
      <w:r w:rsidR="00C71525">
        <w:rPr>
          <w:sz w:val="24"/>
          <w:szCs w:val="24"/>
        </w:rPr>
        <w:t xml:space="preserve">на </w:t>
      </w:r>
      <w:r w:rsidR="00C71525" w:rsidRPr="007A1D58">
        <w:rPr>
          <w:sz w:val="24"/>
          <w:szCs w:val="24"/>
        </w:rPr>
        <w:t>заключени</w:t>
      </w:r>
      <w:r w:rsidR="00C71525">
        <w:rPr>
          <w:sz w:val="24"/>
          <w:szCs w:val="24"/>
        </w:rPr>
        <w:t>е</w:t>
      </w:r>
      <w:r w:rsidR="00C71525" w:rsidRPr="007A1D58">
        <w:rPr>
          <w:sz w:val="24"/>
          <w:szCs w:val="24"/>
        </w:rPr>
        <w:t xml:space="preserve"> договора аренды сроком на 10 (десять) лет на </w:t>
      </w:r>
      <w:proofErr w:type="gramStart"/>
      <w:r w:rsidR="00C71525" w:rsidRPr="007A1D58">
        <w:rPr>
          <w:sz w:val="24"/>
          <w:szCs w:val="24"/>
        </w:rPr>
        <w:t xml:space="preserve">земельный  </w:t>
      </w:r>
      <w:r w:rsidR="00C71525" w:rsidRPr="003661BD">
        <w:rPr>
          <w:sz w:val="24"/>
          <w:szCs w:val="24"/>
        </w:rPr>
        <w:t>участок</w:t>
      </w:r>
      <w:proofErr w:type="gramEnd"/>
      <w:r w:rsidR="00C71525" w:rsidRPr="003661BD">
        <w:rPr>
          <w:sz w:val="24"/>
          <w:szCs w:val="24"/>
        </w:rPr>
        <w:t xml:space="preserve">, отнесенный к землям населенных пунктов, площадью </w:t>
      </w:r>
      <w:r w:rsidR="003661BD" w:rsidRPr="003661BD">
        <w:rPr>
          <w:sz w:val="24"/>
          <w:szCs w:val="24"/>
        </w:rPr>
        <w:t xml:space="preserve">1500,00 </w:t>
      </w:r>
      <w:proofErr w:type="spellStart"/>
      <w:r w:rsidR="003661BD" w:rsidRPr="003661BD">
        <w:rPr>
          <w:sz w:val="24"/>
          <w:szCs w:val="24"/>
        </w:rPr>
        <w:t>кв.м</w:t>
      </w:r>
      <w:proofErr w:type="spellEnd"/>
      <w:r w:rsidR="003661BD" w:rsidRPr="003661BD">
        <w:rPr>
          <w:sz w:val="24"/>
          <w:szCs w:val="24"/>
        </w:rPr>
        <w:t xml:space="preserve">., для складов, с кадастровым номером 63:03:0402002:613, расположенный по адресу: </w:t>
      </w:r>
      <w:r w:rsidR="003661BD" w:rsidRPr="00536860">
        <w:rPr>
          <w:b/>
          <w:sz w:val="24"/>
          <w:szCs w:val="24"/>
        </w:rPr>
        <w:t xml:space="preserve">Самарская область, </w:t>
      </w:r>
      <w:proofErr w:type="spellStart"/>
      <w:r w:rsidR="003661BD" w:rsidRPr="00536860">
        <w:rPr>
          <w:b/>
          <w:sz w:val="24"/>
          <w:szCs w:val="24"/>
        </w:rPr>
        <w:t>г.о.Кинель</w:t>
      </w:r>
      <w:proofErr w:type="spellEnd"/>
      <w:r w:rsidR="003661BD" w:rsidRPr="00536860">
        <w:rPr>
          <w:b/>
          <w:sz w:val="24"/>
          <w:szCs w:val="24"/>
        </w:rPr>
        <w:t xml:space="preserve">, </w:t>
      </w:r>
      <w:proofErr w:type="spellStart"/>
      <w:r w:rsidR="003661BD" w:rsidRPr="00536860">
        <w:rPr>
          <w:b/>
          <w:sz w:val="24"/>
          <w:szCs w:val="24"/>
        </w:rPr>
        <w:t>пгт.Алексеевка</w:t>
      </w:r>
      <w:proofErr w:type="spellEnd"/>
      <w:r w:rsidR="003661BD" w:rsidRPr="00536860">
        <w:rPr>
          <w:b/>
          <w:sz w:val="24"/>
          <w:szCs w:val="24"/>
        </w:rPr>
        <w:t>, улица Силикатная, участок 5Д</w:t>
      </w:r>
      <w:r w:rsidR="003661BD" w:rsidRPr="003661BD">
        <w:rPr>
          <w:sz w:val="24"/>
          <w:szCs w:val="24"/>
        </w:rPr>
        <w:t xml:space="preserve">, начальная цена ежегодной арендной платы составляет 109 000 </w:t>
      </w:r>
      <w:r w:rsidR="00C71525" w:rsidRPr="003661BD">
        <w:rPr>
          <w:sz w:val="24"/>
          <w:szCs w:val="24"/>
        </w:rPr>
        <w:t xml:space="preserve">руб., шаг </w:t>
      </w:r>
      <w:r w:rsidR="003661BD" w:rsidRPr="003661BD">
        <w:rPr>
          <w:sz w:val="24"/>
          <w:szCs w:val="24"/>
        </w:rPr>
        <w:t>3200</w:t>
      </w:r>
      <w:r w:rsidR="00C71525" w:rsidRPr="003661BD">
        <w:rPr>
          <w:sz w:val="24"/>
          <w:szCs w:val="24"/>
        </w:rPr>
        <w:t xml:space="preserve"> руб., задаток </w:t>
      </w:r>
      <w:r w:rsidR="003661BD" w:rsidRPr="003661BD">
        <w:rPr>
          <w:sz w:val="24"/>
          <w:szCs w:val="24"/>
        </w:rPr>
        <w:t>54 5</w:t>
      </w:r>
      <w:r w:rsidR="00C71525" w:rsidRPr="003661BD">
        <w:rPr>
          <w:sz w:val="24"/>
          <w:szCs w:val="24"/>
        </w:rPr>
        <w:t xml:space="preserve">00 руб.  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 xml:space="preserve">на весь земельный участок установлены ограничения прав, предусмотренные статьями 56, 56.1 Земельного кодекса Российской Федерации. На всей территории в границах шестой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устанавливаются ограничения по размещению объектов, способствующих привлечению и массовому скоплению птиц. Согласно Руководству по орнитологическому обеспечению полетов в радиусе 15 км от аэродрома запрещается строительство: звероводческих ферм; скотобоен; подсобных хозяйств (свинарников, коровников, птицеферм, звероферм, рыбных прудов и др.), способствующих массовому скоплению птиц; свалок пищевых отходов; других объектов, способствующих массовому скоплению птиц, опасных для полетов воздушных судов. Реестровый номер границы: 63.00.2.140; 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 xml:space="preserve">на весь земельный участок установлены ограничения прав, предусмотренные статьями 56, 56.1 Земельного кодекса Российской Федерации. На всей территории в границах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№4 устанавливаются ограничения по размещению стационарных передающих радиотехнических объектов (далее – ПРТО) использующие частоты выделенных для работы средств РТО аэродрома Самара(</w:t>
      </w:r>
      <w:proofErr w:type="spellStart"/>
      <w:r>
        <w:rPr>
          <w:sz w:val="22"/>
        </w:rPr>
        <w:t>Безымянка</w:t>
      </w:r>
      <w:proofErr w:type="spellEnd"/>
      <w:r>
        <w:rPr>
          <w:sz w:val="22"/>
        </w:rPr>
        <w:t xml:space="preserve">) указанных в аэронавигационном паспорте. На основании Воздушного кодекса РФ,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sz w:val="22"/>
        </w:rPr>
        <w:t>приаэродромной</w:t>
      </w:r>
      <w:proofErr w:type="spellEnd"/>
      <w:r>
        <w:rPr>
          <w:sz w:val="22"/>
        </w:rPr>
        <w:t xml:space="preserve"> территории и санитарно-защитной зоны», постановления правительства РФ №1460 от 2 Декабря 2017 года и в соответствии с Постановлением правительства Российской Федерации от 21.12.2011 г. N 1049-34 «Об утверждении таблицы распределения полос радиочастот между </w:t>
      </w:r>
      <w:proofErr w:type="spellStart"/>
      <w:r>
        <w:rPr>
          <w:sz w:val="22"/>
        </w:rPr>
        <w:t>радиослужбами</w:t>
      </w:r>
      <w:proofErr w:type="spellEnd"/>
      <w:r>
        <w:rPr>
          <w:sz w:val="22"/>
        </w:rPr>
        <w:t xml:space="preserve"> Российской Федерации и признании утратившими силу некоторых постановлений Правительства Российской Федерации» и с данными аэронавигационного паспорта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 на всей территории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№4 устанавливаемые для исключения помех способных ухудшить характеристики средств РТО на используемых частотах (электромагнитные помехи): 8.3.1. На всей территории четвертой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устанавливается запрет на размещение стационарных ПРТО с используемыми частотами: 110,494МГц, 110,506МГц, 931,7МГц, 966,2МГц, 1030МГц, 800-900 МГц, 9250-9450МГц, 118,0-135,975МГц, 124,0 МГц, 119,9 МГц, 121,1 МГц, 163,6 МГц, 163,635 МГц, 330,5МГц, 0,32МГц, 108,7МГц, 0,660МГц, 75МГц, не относящимися к средствам и системам обслуживания воздушного движения, навигации, посадки и связи аэродрома Самара(</w:t>
      </w:r>
      <w:proofErr w:type="spellStart"/>
      <w:r>
        <w:rPr>
          <w:sz w:val="22"/>
        </w:rPr>
        <w:t>Безымянка</w:t>
      </w:r>
      <w:proofErr w:type="spellEnd"/>
      <w:r>
        <w:rPr>
          <w:sz w:val="22"/>
        </w:rPr>
        <w:t xml:space="preserve">) и других аэродромов, вертодромов, посадочных площадок, объектов Министерства обороны, объектов Федеральной службы охраны, объектов Федеральной службы безопасности. 8.3.2. На всей территории четвертой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устанавливается запрет на размещение стационарных передающих радиотехнических объектов (ПРТО) с частотами </w:t>
      </w:r>
      <w:r>
        <w:rPr>
          <w:sz w:val="22"/>
        </w:rPr>
        <w:lastRenderedPageBreak/>
        <w:t xml:space="preserve">выделенными согласно Постановлению правительства Российской Федерации от 21.12.2011 г. N 1049-34 «Об утверждении Таблицы распределения полос радиочастот между </w:t>
      </w:r>
      <w:proofErr w:type="spellStart"/>
      <w:r>
        <w:rPr>
          <w:sz w:val="22"/>
        </w:rPr>
        <w:t>радиослужбами</w:t>
      </w:r>
      <w:proofErr w:type="spellEnd"/>
      <w:r>
        <w:rPr>
          <w:sz w:val="22"/>
        </w:rPr>
        <w:t xml:space="preserve"> Российской Федерации и признании утратившими силу некоторых постановлений Правительства Российской Федерации» для следующих </w:t>
      </w:r>
      <w:proofErr w:type="spellStart"/>
      <w:r>
        <w:rPr>
          <w:sz w:val="22"/>
        </w:rPr>
        <w:t>радиослужб</w:t>
      </w:r>
      <w:proofErr w:type="spellEnd"/>
      <w:r>
        <w:rPr>
          <w:sz w:val="22"/>
        </w:rPr>
        <w:t>: «воздушная подвижная»; «воздушная подвижная (OR)» «воздушная подвижная (R)» воздушная подвижная спутниковая» «воздушная подвижная спутниковая» «воздушная радионавигационная» не относящимися к средствам и системам обслуживания воздушного движения, навигации, посадки и связи аэродрома Самара(</w:t>
      </w:r>
      <w:proofErr w:type="spellStart"/>
      <w:r>
        <w:rPr>
          <w:sz w:val="22"/>
        </w:rPr>
        <w:t>Безымянка</w:t>
      </w:r>
      <w:proofErr w:type="spellEnd"/>
      <w:r>
        <w:rPr>
          <w:sz w:val="22"/>
        </w:rPr>
        <w:t>) и других аэродромов, вертодромов, посадочных площадок, объектов Министерства обороны, объектов Федеральной службы охраны, объектов Федеральной службы безопасности. Реестровый номер границы 63.00.2.142;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>на весь</w:t>
      </w:r>
      <w:r>
        <w:t xml:space="preserve"> </w:t>
      </w:r>
      <w:r>
        <w:rPr>
          <w:sz w:val="22"/>
        </w:rPr>
        <w:t xml:space="preserve">земельный участок установлены ограничения прав, предусмотренные статьями 56, 56.1 Земельного кодекса Российской Федерации. На всей территории в границах пятой </w:t>
      </w:r>
      <w:proofErr w:type="spellStart"/>
      <w:r>
        <w:rPr>
          <w:sz w:val="22"/>
        </w:rPr>
        <w:t>подзоны</w:t>
      </w:r>
      <w:proofErr w:type="spellEnd"/>
      <w:r>
        <w:rPr>
          <w:sz w:val="22"/>
        </w:rPr>
        <w:t xml:space="preserve"> устанавливаются ограничения по размещению опасных производственных объектов 1-4 классов опасности согласно Федерального закона «О промышленной безопасности опасных производственных объектов (с изменениями на 7 марта 2017 года) (редакция, действующая с 25 марта 2017 года)» от 21.07.1997 N 116-ФЗ, функционирование которых может повлиять на безопасность полетов воздушных судов. Реестровый номер границы 63.00.2.141.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E53772">
        <w:rPr>
          <w:sz w:val="22"/>
        </w:rPr>
        <w:t>1</w:t>
      </w:r>
      <w:r>
        <w:rPr>
          <w:sz w:val="22"/>
        </w:rPr>
        <w:t>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</w:t>
      </w:r>
    </w:p>
    <w:p w:rsidR="00F2079A" w:rsidRPr="00EB01DE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</w:t>
      </w:r>
      <w:r w:rsidR="00735C2C" w:rsidRPr="00EB01DE">
        <w:rPr>
          <w:bCs/>
          <w:color w:val="000000" w:themeColor="text1"/>
          <w:sz w:val="22"/>
        </w:rPr>
        <w:t>под</w:t>
      </w:r>
      <w:r w:rsidRPr="00EB01DE">
        <w:rPr>
          <w:bCs/>
          <w:color w:val="000000" w:themeColor="text1"/>
          <w:sz w:val="22"/>
        </w:rPr>
        <w:t xml:space="preserve">земного газопровода </w:t>
      </w:r>
      <w:r w:rsidR="00735C2C" w:rsidRPr="00EB01DE">
        <w:rPr>
          <w:bCs/>
          <w:color w:val="000000" w:themeColor="text1"/>
          <w:sz w:val="22"/>
        </w:rPr>
        <w:t>среднего давления диаметром 110 мм (собственность</w:t>
      </w:r>
      <w:r w:rsidRPr="00EB01DE">
        <w:rPr>
          <w:bCs/>
          <w:color w:val="000000" w:themeColor="text1"/>
          <w:sz w:val="22"/>
        </w:rPr>
        <w:t xml:space="preserve"> ООО «Эм-Си </w:t>
      </w:r>
      <w:proofErr w:type="spellStart"/>
      <w:r w:rsidRPr="00EB01DE">
        <w:rPr>
          <w:bCs/>
          <w:color w:val="000000" w:themeColor="text1"/>
          <w:sz w:val="22"/>
        </w:rPr>
        <w:t>Баухеми</w:t>
      </w:r>
      <w:proofErr w:type="spellEnd"/>
      <w:r w:rsidRPr="00EB01DE">
        <w:rPr>
          <w:bCs/>
          <w:color w:val="000000" w:themeColor="text1"/>
          <w:sz w:val="22"/>
        </w:rPr>
        <w:t xml:space="preserve">»), </w:t>
      </w:r>
      <w:r w:rsidR="00735C2C" w:rsidRPr="00EB01DE">
        <w:rPr>
          <w:bCs/>
          <w:color w:val="000000" w:themeColor="text1"/>
          <w:sz w:val="22"/>
        </w:rPr>
        <w:t>примерное расстояние от точки подключения до</w:t>
      </w:r>
      <w:r w:rsidRPr="00EB01DE">
        <w:rPr>
          <w:bCs/>
          <w:color w:val="000000" w:themeColor="text1"/>
          <w:sz w:val="22"/>
        </w:rPr>
        <w:t xml:space="preserve"> земельного участка</w:t>
      </w:r>
      <w:r w:rsidR="00735C2C" w:rsidRPr="00EB01DE">
        <w:rPr>
          <w:bCs/>
          <w:color w:val="000000" w:themeColor="text1"/>
          <w:sz w:val="22"/>
        </w:rPr>
        <w:t xml:space="preserve"> составляет 450м</w:t>
      </w:r>
      <w:r w:rsidRPr="00EB01DE">
        <w:rPr>
          <w:bCs/>
          <w:color w:val="000000" w:themeColor="text1"/>
          <w:sz w:val="22"/>
        </w:rPr>
        <w:t>.</w:t>
      </w:r>
    </w:p>
    <w:p w:rsidR="00F2079A" w:rsidRPr="00EB01DE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</w:t>
      </w:r>
      <w:r w:rsidR="00735C2C" w:rsidRPr="00EB01DE">
        <w:rPr>
          <w:bCs/>
          <w:color w:val="000000" w:themeColor="text1"/>
          <w:sz w:val="22"/>
        </w:rPr>
        <w:t xml:space="preserve"> Правительства РФ от 30.09.2021</w:t>
      </w:r>
      <w:r w:rsidRPr="00EB01DE">
        <w:rPr>
          <w:bCs/>
          <w:color w:val="000000" w:themeColor="text1"/>
          <w:sz w:val="22"/>
        </w:rPr>
        <w:t>г. №</w:t>
      </w:r>
      <w:r w:rsidR="00735C2C" w:rsidRPr="00EB01DE">
        <w:rPr>
          <w:bCs/>
          <w:color w:val="000000" w:themeColor="text1"/>
          <w:sz w:val="22"/>
        </w:rPr>
        <w:t>1547</w:t>
      </w:r>
      <w:r w:rsidRPr="00EB01DE">
        <w:rPr>
          <w:bCs/>
          <w:color w:val="000000" w:themeColor="text1"/>
          <w:sz w:val="22"/>
        </w:rPr>
        <w:t>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E53772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E53772">
        <w:rPr>
          <w:bCs/>
          <w:sz w:val="22"/>
        </w:rPr>
        <w:t>1</w:t>
      </w:r>
      <w:bookmarkStart w:id="0" w:name="_GoBack"/>
      <w:bookmarkEnd w:id="0"/>
    </w:p>
    <w:p w:rsidR="004E702D" w:rsidRPr="004E702D" w:rsidRDefault="00E53772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 xml:space="preserve"> </w:t>
      </w:r>
      <w:r w:rsidR="004E702D"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F6319D" w:rsidRPr="004E702D">
        <w:rPr>
          <w:bCs/>
          <w:sz w:val="22"/>
        </w:rPr>
        <w:t>Лот №</w:t>
      </w:r>
      <w:r w:rsidR="007E0A59">
        <w:rPr>
          <w:bCs/>
          <w:sz w:val="22"/>
        </w:rPr>
        <w:t>3</w:t>
      </w:r>
    </w:p>
    <w:p w:rsidR="00CB4C71" w:rsidRPr="00B2603C" w:rsidRDefault="00F6319D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проектом от </w:t>
      </w:r>
      <w:r w:rsidR="009F36BB">
        <w:rPr>
          <w:bCs/>
          <w:sz w:val="22"/>
        </w:rPr>
        <w:t xml:space="preserve">центрального </w:t>
      </w:r>
      <w:r w:rsidR="00CB4C71" w:rsidRPr="00B2603C">
        <w:rPr>
          <w:bCs/>
          <w:sz w:val="22"/>
        </w:rPr>
        <w:t xml:space="preserve">водопровода по </w:t>
      </w:r>
      <w:proofErr w:type="spellStart"/>
      <w:r w:rsidR="00CB4C71">
        <w:rPr>
          <w:bCs/>
          <w:sz w:val="22"/>
        </w:rPr>
        <w:t>ул.</w:t>
      </w:r>
      <w:r w:rsidR="007E0A59">
        <w:rPr>
          <w:bCs/>
          <w:sz w:val="22"/>
        </w:rPr>
        <w:t>Силикатная</w:t>
      </w:r>
      <w:proofErr w:type="spellEnd"/>
      <w:r w:rsidR="009F36BB">
        <w:rPr>
          <w:bCs/>
          <w:sz w:val="22"/>
        </w:rPr>
        <w:t xml:space="preserve">, </w:t>
      </w:r>
      <w:proofErr w:type="spellStart"/>
      <w:r w:rsidR="009F36BB">
        <w:rPr>
          <w:bCs/>
          <w:sz w:val="22"/>
        </w:rPr>
        <w:t>Ду</w:t>
      </w:r>
      <w:proofErr w:type="spellEnd"/>
      <w:r w:rsidR="009F36BB">
        <w:rPr>
          <w:bCs/>
          <w:sz w:val="22"/>
        </w:rPr>
        <w:t>=</w:t>
      </w:r>
      <w:r w:rsidR="007E0A59">
        <w:rPr>
          <w:bCs/>
          <w:sz w:val="22"/>
        </w:rPr>
        <w:t>1</w:t>
      </w:r>
      <w:r w:rsidR="009F36BB">
        <w:rPr>
          <w:bCs/>
          <w:sz w:val="22"/>
        </w:rPr>
        <w:t>00мм</w:t>
      </w:r>
      <w:r w:rsidR="00C1632D">
        <w:rPr>
          <w:bCs/>
          <w:sz w:val="22"/>
        </w:rPr>
        <w:t>.</w:t>
      </w:r>
    </w:p>
    <w:p w:rsidR="00C1632D" w:rsidRDefault="00CB4C71" w:rsidP="00400645">
      <w:pPr>
        <w:ind w:firstLine="0"/>
        <w:rPr>
          <w:bCs/>
          <w:sz w:val="22"/>
        </w:rPr>
      </w:pPr>
      <w:r w:rsidRPr="00B2603C">
        <w:rPr>
          <w:bCs/>
          <w:sz w:val="22"/>
        </w:rPr>
        <w:t>2.  На месте врезки предусмотреть колодец диаметром 1</w:t>
      </w:r>
      <w:r w:rsidR="00C1632D">
        <w:rPr>
          <w:bCs/>
          <w:sz w:val="22"/>
        </w:rPr>
        <w:t xml:space="preserve"> м. из ж\б колец.</w:t>
      </w:r>
    </w:p>
    <w:p w:rsidR="00CB4C71" w:rsidRPr="00B2603C" w:rsidRDefault="00CB4C71" w:rsidP="00400645">
      <w:pPr>
        <w:ind w:firstLine="0"/>
        <w:rPr>
          <w:bCs/>
          <w:sz w:val="22"/>
        </w:rPr>
      </w:pPr>
      <w:r>
        <w:rPr>
          <w:bCs/>
          <w:sz w:val="22"/>
        </w:rPr>
        <w:t>3</w:t>
      </w:r>
      <w:r w:rsidRPr="00B2603C">
        <w:rPr>
          <w:bCs/>
          <w:sz w:val="22"/>
        </w:rPr>
        <w:t>. Произвести гидроизоляцию колодца</w:t>
      </w:r>
    </w:p>
    <w:p w:rsidR="00C1632D" w:rsidRDefault="00CB4C71" w:rsidP="00400645">
      <w:pPr>
        <w:ind w:firstLine="0"/>
        <w:rPr>
          <w:bCs/>
          <w:sz w:val="22"/>
        </w:rPr>
      </w:pPr>
      <w:r>
        <w:rPr>
          <w:bCs/>
          <w:sz w:val="22"/>
        </w:rPr>
        <w:t>4</w:t>
      </w:r>
      <w:r w:rsidRPr="00B2603C">
        <w:rPr>
          <w:bCs/>
          <w:sz w:val="22"/>
        </w:rPr>
        <w:t xml:space="preserve">. </w:t>
      </w:r>
      <w:r w:rsidR="00C1632D">
        <w:rPr>
          <w:bCs/>
          <w:sz w:val="22"/>
        </w:rPr>
        <w:t>В колодце разместить водомерный узел.</w:t>
      </w:r>
    </w:p>
    <w:p w:rsidR="00CB4C71" w:rsidRDefault="00C1632D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5. </w:t>
      </w:r>
      <w:r w:rsidR="00CB4C71">
        <w:rPr>
          <w:bCs/>
          <w:sz w:val="22"/>
        </w:rPr>
        <w:t>Стоимость подключения к водопроводной сети будет определена после подготовки проекта водоснабжения объекта капитального строительства, предоставления расчетной нагрузки. На основании полученных данных будет разработан тариф на присоединение и утвержден в Департаменте ценового и тарифного регулирования.</w:t>
      </w:r>
    </w:p>
    <w:p w:rsidR="00F6319D" w:rsidRDefault="00F12B4B" w:rsidP="00400645">
      <w:pPr>
        <w:ind w:firstLine="0"/>
        <w:rPr>
          <w:b/>
          <w:sz w:val="22"/>
        </w:rPr>
      </w:pPr>
      <w:r>
        <w:rPr>
          <w:b/>
          <w:sz w:val="22"/>
        </w:rPr>
        <w:t xml:space="preserve">          </w:t>
      </w:r>
      <w:r w:rsidR="00F6319D">
        <w:rPr>
          <w:b/>
          <w:sz w:val="22"/>
        </w:rPr>
        <w:t>Водоотведение</w:t>
      </w:r>
    </w:p>
    <w:p w:rsidR="00400645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</w:t>
      </w:r>
      <w:r w:rsidR="00400645">
        <w:rPr>
          <w:bCs/>
          <w:sz w:val="22"/>
        </w:rPr>
        <w:t>Лот №</w:t>
      </w:r>
      <w:r w:rsidR="00E53772">
        <w:rPr>
          <w:bCs/>
          <w:sz w:val="22"/>
        </w:rPr>
        <w:t>3</w:t>
      </w:r>
    </w:p>
    <w:p w:rsidR="00400645" w:rsidRPr="00820DE2" w:rsidRDefault="00400645" w:rsidP="007E0A59">
      <w:pPr>
        <w:pStyle w:val="a4"/>
        <w:numPr>
          <w:ilvl w:val="0"/>
          <w:numId w:val="8"/>
        </w:numPr>
        <w:ind w:left="0" w:firstLine="0"/>
        <w:rPr>
          <w:bCs/>
          <w:sz w:val="22"/>
        </w:rPr>
      </w:pPr>
      <w:r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lastRenderedPageBreak/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E53772">
        <w:rPr>
          <w:b/>
          <w:sz w:val="22"/>
        </w:rPr>
        <w:t>0</w:t>
      </w:r>
      <w:r w:rsidR="0063699D">
        <w:rPr>
          <w:b/>
          <w:sz w:val="22"/>
        </w:rPr>
        <w:t>4</w:t>
      </w:r>
      <w:r w:rsidR="00E53772">
        <w:rPr>
          <w:b/>
          <w:sz w:val="22"/>
        </w:rPr>
        <w:t xml:space="preserve"> августа</w:t>
      </w:r>
      <w:r w:rsidR="005C0678">
        <w:rPr>
          <w:b/>
          <w:sz w:val="22"/>
        </w:rPr>
        <w:t xml:space="preserve"> 202</w:t>
      </w:r>
      <w:r w:rsidR="00E53772">
        <w:rPr>
          <w:b/>
          <w:sz w:val="22"/>
        </w:rPr>
        <w:t>2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63699D">
        <w:rPr>
          <w:b/>
          <w:sz w:val="22"/>
        </w:rPr>
        <w:t>30</w:t>
      </w:r>
      <w:r w:rsidR="00E53772">
        <w:rPr>
          <w:b/>
          <w:sz w:val="22"/>
        </w:rPr>
        <w:t xml:space="preserve"> августа</w:t>
      </w:r>
      <w:r w:rsidR="005C0678">
        <w:rPr>
          <w:b/>
          <w:sz w:val="22"/>
        </w:rPr>
        <w:t xml:space="preserve"> 202</w:t>
      </w:r>
      <w:r w:rsidR="00536860">
        <w:rPr>
          <w:b/>
          <w:sz w:val="22"/>
        </w:rPr>
        <w:t>2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63699D">
        <w:rPr>
          <w:b/>
          <w:sz w:val="22"/>
          <w:szCs w:val="22"/>
        </w:rPr>
        <w:t>02 сентября</w:t>
      </w:r>
      <w:r w:rsidR="00E53772">
        <w:rPr>
          <w:b/>
          <w:sz w:val="22"/>
          <w:szCs w:val="22"/>
        </w:rPr>
        <w:t xml:space="preserve"> 2022</w:t>
      </w:r>
      <w:r w:rsidR="004971FC">
        <w:rPr>
          <w:b/>
          <w:sz w:val="22"/>
          <w:szCs w:val="22"/>
        </w:rPr>
        <w:t xml:space="preserve"> года в 1</w:t>
      </w:r>
      <w:r w:rsidR="0063699D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E53772" w:rsidRDefault="00B0770F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53772">
        <w:rPr>
          <w:rFonts w:ascii="Times New Roman" w:hAnsi="Times New Roman"/>
          <w:sz w:val="22"/>
        </w:rPr>
        <w:t>Размеры задатков, вносимых заявителями для участия в торгах, перечисляются следующие реквизиты: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E53772" w:rsidRPr="00E53772" w:rsidRDefault="00E53772" w:rsidP="00E53772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503A" w:rsidRP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  <w:r w:rsidR="00C1503A" w:rsidRPr="00E53772">
        <w:rPr>
          <w:rFonts w:ascii="Times New Roman" w:hAnsi="Times New Roman"/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="00C1503A" w:rsidRPr="00E53772">
        <w:rPr>
          <w:rFonts w:ascii="Times New Roman" w:hAnsi="Times New Roman"/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>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</w:t>
      </w:r>
      <w:r w:rsidR="00FC67FB" w:rsidRPr="000D4DEB">
        <w:rPr>
          <w:sz w:val="22"/>
        </w:rPr>
        <w:lastRenderedPageBreak/>
        <w:t>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63699D">
        <w:rPr>
          <w:b/>
          <w:sz w:val="22"/>
        </w:rPr>
        <w:t>05 сентября 2022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B6354E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63699D">
        <w:rPr>
          <w:b/>
          <w:sz w:val="22"/>
          <w:szCs w:val="22"/>
        </w:rPr>
        <w:t>05 сентября</w:t>
      </w:r>
      <w:r w:rsidR="00E53772">
        <w:rPr>
          <w:b/>
          <w:sz w:val="22"/>
          <w:szCs w:val="22"/>
        </w:rPr>
        <w:t xml:space="preserve"> 2022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10957"/>
    <w:rsid w:val="00511816"/>
    <w:rsid w:val="005147F2"/>
    <w:rsid w:val="00525CD1"/>
    <w:rsid w:val="00536860"/>
    <w:rsid w:val="00540CBA"/>
    <w:rsid w:val="00544ED6"/>
    <w:rsid w:val="00555C93"/>
    <w:rsid w:val="00570D5A"/>
    <w:rsid w:val="0057144E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605ADA"/>
    <w:rsid w:val="00631151"/>
    <w:rsid w:val="00632C6F"/>
    <w:rsid w:val="0063699D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35C2C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1E70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263E0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907A0"/>
    <w:rsid w:val="009B0FC5"/>
    <w:rsid w:val="009C718B"/>
    <w:rsid w:val="009D5206"/>
    <w:rsid w:val="009F1CD2"/>
    <w:rsid w:val="009F36BB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1DB6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53772"/>
    <w:rsid w:val="00E60274"/>
    <w:rsid w:val="00E65898"/>
    <w:rsid w:val="00E706EA"/>
    <w:rsid w:val="00E76470"/>
    <w:rsid w:val="00E965D6"/>
    <w:rsid w:val="00EB01DE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079A"/>
    <w:rsid w:val="00F276CC"/>
    <w:rsid w:val="00F33A0C"/>
    <w:rsid w:val="00F42EC3"/>
    <w:rsid w:val="00F43A8F"/>
    <w:rsid w:val="00F44FFF"/>
    <w:rsid w:val="00F6319D"/>
    <w:rsid w:val="00F65D22"/>
    <w:rsid w:val="00F664B4"/>
    <w:rsid w:val="00F8260A"/>
    <w:rsid w:val="00F94D61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105</cp:revision>
  <cp:lastPrinted>2021-05-26T07:18:00Z</cp:lastPrinted>
  <dcterms:created xsi:type="dcterms:W3CDTF">2020-02-11T11:06:00Z</dcterms:created>
  <dcterms:modified xsi:type="dcterms:W3CDTF">2022-08-01T12:25:00Z</dcterms:modified>
</cp:coreProperties>
</file>