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sz w:val="26"/>
          <w:szCs w:val="27"/>
        </w:rPr>
      </w:pPr>
      <w:r w:rsidRPr="00457A7B">
        <w:rPr>
          <w:rStyle w:val="a5"/>
          <w:sz w:val="26"/>
          <w:szCs w:val="27"/>
        </w:rPr>
        <w:t>ЗАКЛЮЧЕНИЕ</w:t>
      </w:r>
    </w:p>
    <w:p w:rsidR="00D20F81" w:rsidRPr="00457A7B" w:rsidRDefault="00D20F81" w:rsidP="00D20F81">
      <w:pPr>
        <w:pStyle w:val="a6"/>
        <w:shd w:val="clear" w:color="auto" w:fill="FFFFFF"/>
        <w:spacing w:before="0" w:beforeAutospacing="0" w:after="0" w:afterAutospacing="0" w:line="165" w:lineRule="atLeast"/>
        <w:jc w:val="center"/>
        <w:rPr>
          <w:rStyle w:val="a5"/>
          <w:sz w:val="26"/>
          <w:szCs w:val="27"/>
        </w:rPr>
      </w:pPr>
      <w:r w:rsidRPr="00457A7B">
        <w:rPr>
          <w:rStyle w:val="a5"/>
          <w:sz w:val="26"/>
          <w:szCs w:val="27"/>
        </w:rPr>
        <w:t xml:space="preserve">об оценке регулирующего воздействия проекта </w:t>
      </w:r>
      <w:r w:rsidR="003C7525">
        <w:rPr>
          <w:rStyle w:val="a5"/>
          <w:sz w:val="26"/>
          <w:szCs w:val="27"/>
        </w:rPr>
        <w:t xml:space="preserve">муниципального </w:t>
      </w:r>
      <w:r w:rsidRPr="00457A7B">
        <w:rPr>
          <w:rStyle w:val="a5"/>
          <w:sz w:val="26"/>
          <w:szCs w:val="27"/>
        </w:rPr>
        <w:t xml:space="preserve">нормативного правового акта администрации городского округа Кинель, затрагивающего вопросы осуществления предпринимательской и инвестиционной деятельности  </w:t>
      </w:r>
    </w:p>
    <w:p w:rsidR="008115B2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1. Вид, наименование проекта </w:t>
      </w:r>
      <w:r w:rsidR="003C7525">
        <w:rPr>
          <w:rFonts w:ascii="Times New Roman" w:hAnsi="Times New Roman" w:cs="Times New Roman"/>
          <w:sz w:val="26"/>
          <w:szCs w:val="27"/>
        </w:rPr>
        <w:t xml:space="preserve">муниципального </w:t>
      </w:r>
      <w:r w:rsidRPr="00457A7B">
        <w:rPr>
          <w:rFonts w:ascii="Times New Roman" w:hAnsi="Times New Roman" w:cs="Times New Roman"/>
          <w:sz w:val="26"/>
          <w:szCs w:val="27"/>
        </w:rPr>
        <w:t xml:space="preserve">нормативного правового акта, в отношении которого была проведена оценка регулирующего воздействия (далее - ОРВ): </w:t>
      </w:r>
    </w:p>
    <w:p w:rsidR="00CA49E7" w:rsidRPr="00145DD8" w:rsidRDefault="00403DEF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6083E">
        <w:rPr>
          <w:rFonts w:ascii="Times New Roman" w:hAnsi="Times New Roman" w:cs="Times New Roman"/>
          <w:sz w:val="26"/>
          <w:szCs w:val="26"/>
        </w:rPr>
        <w:t xml:space="preserve">Проект </w:t>
      </w:r>
      <w:r w:rsidR="00F63040" w:rsidRPr="00F63040">
        <w:rPr>
          <w:rFonts w:ascii="Times New Roman" w:hAnsi="Times New Roman" w:cs="Times New Roman"/>
          <w:sz w:val="26"/>
          <w:szCs w:val="26"/>
        </w:rPr>
        <w:t xml:space="preserve">постановления администрации городского округа Кинель Самарской области «Об утверждении </w:t>
      </w:r>
      <w:r w:rsidR="00B700A1">
        <w:rPr>
          <w:rFonts w:ascii="Times New Roman" w:hAnsi="Times New Roman" w:cs="Times New Roman"/>
          <w:sz w:val="26"/>
          <w:szCs w:val="26"/>
        </w:rPr>
        <w:t>административного регламента предоставления муниципальной услуги «Заключение соглашений об установлении сервитутов в отношении земельных участков</w:t>
      </w:r>
      <w:r w:rsidR="007F769D">
        <w:rPr>
          <w:rFonts w:ascii="Times New Roman" w:hAnsi="Times New Roman" w:cs="Times New Roman"/>
          <w:sz w:val="26"/>
          <w:szCs w:val="26"/>
        </w:rPr>
        <w:t>, находящихся в муниципальной собственности</w:t>
      </w:r>
      <w:r w:rsidR="00B700A1">
        <w:rPr>
          <w:rFonts w:ascii="Times New Roman" w:hAnsi="Times New Roman" w:cs="Times New Roman"/>
          <w:sz w:val="26"/>
          <w:szCs w:val="26"/>
        </w:rPr>
        <w:t>»</w:t>
      </w:r>
      <w:r w:rsidR="007F769D">
        <w:rPr>
          <w:rFonts w:ascii="Times New Roman" w:hAnsi="Times New Roman" w:cs="Times New Roman"/>
          <w:sz w:val="26"/>
          <w:szCs w:val="26"/>
        </w:rPr>
        <w:t xml:space="preserve"> </w:t>
      </w:r>
      <w:r w:rsidR="005C525D" w:rsidRPr="00145DD8">
        <w:rPr>
          <w:rFonts w:ascii="Times New Roman" w:hAnsi="Times New Roman" w:cs="Times New Roman"/>
          <w:sz w:val="26"/>
          <w:szCs w:val="26"/>
        </w:rPr>
        <w:t>(далее - проект нормативного акта).</w:t>
      </w:r>
    </w:p>
    <w:p w:rsidR="00D20F81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2. Разработчик, подготовивший проект нормативного акта:</w:t>
      </w:r>
    </w:p>
    <w:p w:rsidR="00F63040" w:rsidRDefault="00F63040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F63040">
        <w:rPr>
          <w:rFonts w:ascii="Times New Roman" w:hAnsi="Times New Roman" w:cs="Times New Roman"/>
          <w:sz w:val="26"/>
          <w:szCs w:val="27"/>
        </w:rPr>
        <w:t>Комитет по управлению муниципальным имуществом городского округа Кинель Самарской области.</w:t>
      </w:r>
    </w:p>
    <w:p w:rsidR="00D20F81" w:rsidRPr="00457A7B" w:rsidRDefault="00D20F81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3. Дата получения управлением экономического развития, инвестиций и </w:t>
      </w:r>
      <w:r w:rsidRPr="00CA49E7">
        <w:rPr>
          <w:rFonts w:ascii="Times New Roman" w:hAnsi="Times New Roman" w:cs="Times New Roman"/>
          <w:sz w:val="26"/>
          <w:szCs w:val="27"/>
        </w:rPr>
        <w:t xml:space="preserve">потребительского рынка администрации городского округа Кинель отчета о проведении ОРВ: </w:t>
      </w:r>
      <w:r w:rsidR="002833DF">
        <w:rPr>
          <w:rFonts w:ascii="Times New Roman" w:hAnsi="Times New Roman" w:cs="Times New Roman"/>
          <w:sz w:val="26"/>
          <w:szCs w:val="27"/>
        </w:rPr>
        <w:t>29</w:t>
      </w:r>
      <w:r w:rsidR="00432868">
        <w:rPr>
          <w:rFonts w:ascii="Times New Roman" w:hAnsi="Times New Roman" w:cs="Times New Roman"/>
          <w:sz w:val="26"/>
          <w:szCs w:val="27"/>
        </w:rPr>
        <w:t>.09</w:t>
      </w:r>
      <w:r w:rsidR="00D10778" w:rsidRPr="00CA49E7">
        <w:rPr>
          <w:rFonts w:ascii="Times New Roman" w:hAnsi="Times New Roman" w:cs="Times New Roman"/>
          <w:sz w:val="26"/>
          <w:szCs w:val="27"/>
        </w:rPr>
        <w:t>.</w:t>
      </w:r>
      <w:r w:rsidR="00076759">
        <w:rPr>
          <w:rFonts w:ascii="Times New Roman" w:hAnsi="Times New Roman" w:cs="Times New Roman"/>
          <w:sz w:val="26"/>
          <w:szCs w:val="27"/>
        </w:rPr>
        <w:t xml:space="preserve">2020 </w:t>
      </w:r>
      <w:r w:rsidR="00457A7B" w:rsidRPr="00CA49E7">
        <w:rPr>
          <w:rFonts w:ascii="Times New Roman" w:hAnsi="Times New Roman" w:cs="Times New Roman"/>
          <w:sz w:val="26"/>
          <w:szCs w:val="27"/>
        </w:rPr>
        <w:t>г.</w:t>
      </w:r>
      <w:bookmarkStart w:id="0" w:name="_GoBack"/>
      <w:bookmarkEnd w:id="0"/>
    </w:p>
    <w:p w:rsidR="005C525D" w:rsidRPr="00457A7B" w:rsidRDefault="00D20F81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4. Оценка соблюдения требований, установленных </w:t>
      </w:r>
      <w:hyperlink r:id="rId4" w:history="1">
        <w:r w:rsidRPr="00457A7B">
          <w:rPr>
            <w:rStyle w:val="a3"/>
            <w:rFonts w:ascii="Times New Roman" w:hAnsi="Times New Roman"/>
            <w:color w:val="auto"/>
            <w:sz w:val="26"/>
            <w:szCs w:val="27"/>
          </w:rPr>
          <w:t>постановлением</w:t>
        </w:r>
      </w:hyperlink>
      <w:r w:rsidRPr="00457A7B">
        <w:rPr>
          <w:rFonts w:ascii="Times New Roman" w:hAnsi="Times New Roman" w:cs="Times New Roman"/>
          <w:sz w:val="26"/>
          <w:szCs w:val="27"/>
        </w:rPr>
        <w:t xml:space="preserve"> администрации городского округа Кинель от 23.12.2015 № 4016 «Об утверждении Порядка проведения оценки регулирующего воздействия проектов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деятельности, и экспертизы нормативных правовых актов администрации городского округа Кинель, затрагивающих вопросы осуществления предпринимательской и инвестиционной деятельности» (далее - Порядок), к проведению процедуры ОРВ, в том числе к срокам осуществления отдельных действий, предусмотренных Порядком: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10348"/>
      </w:tblGrid>
      <w:tr w:rsidR="005C525D" w:rsidTr="005C525D">
        <w:tc>
          <w:tcPr>
            <w:tcW w:w="10348" w:type="dxa"/>
            <w:tcBorders>
              <w:top w:val="nil"/>
              <w:left w:val="nil"/>
              <w:right w:val="nil"/>
            </w:tcBorders>
          </w:tcPr>
          <w:p w:rsidR="005C525D" w:rsidRPr="005C525D" w:rsidRDefault="005C525D" w:rsidP="005C525D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7"/>
              </w:rPr>
            </w:pPr>
            <w:r w:rsidRPr="005C525D">
              <w:rPr>
                <w:rFonts w:ascii="Times New Roman" w:hAnsi="Times New Roman" w:cs="Times New Roman"/>
                <w:b/>
                <w:sz w:val="26"/>
                <w:szCs w:val="27"/>
              </w:rPr>
              <w:t>соблюдены</w:t>
            </w:r>
          </w:p>
        </w:tc>
      </w:tr>
    </w:tbl>
    <w:p w:rsidR="00D20F81" w:rsidRPr="00457A7B" w:rsidRDefault="00D20F81" w:rsidP="005C525D">
      <w:pPr>
        <w:pStyle w:val="a4"/>
        <w:jc w:val="both"/>
        <w:rPr>
          <w:rFonts w:ascii="Times New Roman" w:hAnsi="Times New Roman" w:cs="Times New Roman"/>
          <w:sz w:val="26"/>
          <w:szCs w:val="27"/>
        </w:rPr>
      </w:pPr>
    </w:p>
    <w:tbl>
      <w:tblPr>
        <w:tblStyle w:val="a9"/>
        <w:tblpPr w:leftFromText="180" w:rightFromText="180" w:vertAnchor="text" w:horzAnchor="margin" w:tblpXSpec="center" w:tblpY="347"/>
        <w:tblW w:w="0" w:type="auto"/>
        <w:tblLook w:val="04A0" w:firstRow="1" w:lastRow="0" w:firstColumn="1" w:lastColumn="0" w:noHBand="0" w:noVBand="1"/>
      </w:tblPr>
      <w:tblGrid>
        <w:gridCol w:w="8755"/>
      </w:tblGrid>
      <w:tr w:rsidR="00ED345B" w:rsidTr="00ED345B">
        <w:tc>
          <w:tcPr>
            <w:tcW w:w="8755" w:type="dxa"/>
            <w:tcBorders>
              <w:top w:val="nil"/>
              <w:left w:val="nil"/>
              <w:right w:val="nil"/>
            </w:tcBorders>
          </w:tcPr>
          <w:p w:rsidR="00ED345B" w:rsidRPr="00ED345B" w:rsidRDefault="00ED345B" w:rsidP="00ED345B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7"/>
              </w:rPr>
            </w:pPr>
            <w:r w:rsidRPr="00ED345B">
              <w:rPr>
                <w:rFonts w:ascii="Times New Roman" w:hAnsi="Times New Roman" w:cs="Times New Roman"/>
                <w:b/>
                <w:sz w:val="26"/>
                <w:szCs w:val="27"/>
              </w:rPr>
              <w:t>соответствует</w:t>
            </w:r>
          </w:p>
        </w:tc>
      </w:tr>
    </w:tbl>
    <w:p w:rsidR="00ED345B" w:rsidRDefault="00ED345B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>
        <w:rPr>
          <w:rFonts w:ascii="Times New Roman" w:hAnsi="Times New Roman" w:cs="Times New Roman"/>
          <w:sz w:val="26"/>
          <w:szCs w:val="27"/>
        </w:rPr>
        <w:t>5</w:t>
      </w:r>
      <w:r w:rsidR="00D20F81" w:rsidRPr="00457A7B">
        <w:rPr>
          <w:rFonts w:ascii="Times New Roman" w:hAnsi="Times New Roman" w:cs="Times New Roman"/>
          <w:sz w:val="26"/>
          <w:szCs w:val="27"/>
        </w:rPr>
        <w:t>. Оценка соответствия результатов выполненной процедуры ОРВ целям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D20F81" w:rsidRPr="00457A7B">
        <w:rPr>
          <w:rFonts w:ascii="Times New Roman" w:hAnsi="Times New Roman" w:cs="Times New Roman"/>
          <w:sz w:val="26"/>
          <w:szCs w:val="27"/>
        </w:rPr>
        <w:t>проведения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</w:p>
    <w:p w:rsidR="00ED345B" w:rsidRDefault="00ED345B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>
        <w:rPr>
          <w:rFonts w:ascii="Times New Roman" w:hAnsi="Times New Roman" w:cs="Times New Roman"/>
          <w:sz w:val="26"/>
          <w:szCs w:val="27"/>
        </w:rPr>
        <w:t>6</w:t>
      </w:r>
      <w:r w:rsidR="00D20F81" w:rsidRPr="00457A7B">
        <w:rPr>
          <w:rFonts w:ascii="Times New Roman" w:hAnsi="Times New Roman" w:cs="Times New Roman"/>
          <w:sz w:val="26"/>
          <w:szCs w:val="27"/>
        </w:rPr>
        <w:t>. Оценка соответствия содержания отчета о проведении ОРВ требованиям Порядка: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0704"/>
      </w:tblGrid>
      <w:tr w:rsidR="00ED345B" w:rsidTr="00ED345B">
        <w:tc>
          <w:tcPr>
            <w:tcW w:w="10704" w:type="dxa"/>
            <w:tcBorders>
              <w:top w:val="nil"/>
              <w:left w:val="nil"/>
              <w:right w:val="nil"/>
            </w:tcBorders>
          </w:tcPr>
          <w:p w:rsidR="00ED345B" w:rsidRPr="00ED345B" w:rsidRDefault="00ED345B" w:rsidP="00ED345B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7"/>
              </w:rPr>
            </w:pPr>
            <w:r w:rsidRPr="00ED345B">
              <w:rPr>
                <w:rFonts w:ascii="Times New Roman" w:hAnsi="Times New Roman" w:cs="Times New Roman"/>
                <w:b/>
                <w:sz w:val="26"/>
                <w:szCs w:val="27"/>
              </w:rPr>
              <w:t>соответствует</w:t>
            </w:r>
          </w:p>
        </w:tc>
      </w:tr>
    </w:tbl>
    <w:p w:rsidR="00D20F81" w:rsidRPr="00457A7B" w:rsidRDefault="00D20F81" w:rsidP="00ED345B">
      <w:pPr>
        <w:pStyle w:val="a4"/>
        <w:jc w:val="both"/>
        <w:rPr>
          <w:rFonts w:ascii="Times New Roman" w:hAnsi="Times New Roman" w:cs="Times New Roman"/>
          <w:sz w:val="26"/>
          <w:szCs w:val="27"/>
        </w:rPr>
      </w:pPr>
    </w:p>
    <w:tbl>
      <w:tblPr>
        <w:tblStyle w:val="a9"/>
        <w:tblpPr w:leftFromText="180" w:rightFromText="180" w:vertAnchor="text" w:horzAnchor="margin" w:tblpXSpec="right" w:tblpY="313"/>
        <w:tblW w:w="0" w:type="auto"/>
        <w:tblLook w:val="04A0" w:firstRow="1" w:lastRow="0" w:firstColumn="1" w:lastColumn="0" w:noHBand="0" w:noVBand="1"/>
      </w:tblPr>
      <w:tblGrid>
        <w:gridCol w:w="6804"/>
      </w:tblGrid>
      <w:tr w:rsidR="00ED345B" w:rsidTr="00ED345B">
        <w:tc>
          <w:tcPr>
            <w:tcW w:w="6804" w:type="dxa"/>
            <w:tcBorders>
              <w:top w:val="nil"/>
              <w:left w:val="nil"/>
              <w:right w:val="nil"/>
            </w:tcBorders>
          </w:tcPr>
          <w:p w:rsidR="00ED345B" w:rsidRPr="00ED345B" w:rsidRDefault="00ED345B" w:rsidP="00ED345B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7"/>
              </w:rPr>
            </w:pPr>
            <w:r w:rsidRPr="00ED345B">
              <w:rPr>
                <w:rFonts w:ascii="Times New Roman" w:hAnsi="Times New Roman" w:cs="Times New Roman"/>
                <w:b/>
                <w:sz w:val="26"/>
                <w:szCs w:val="27"/>
              </w:rPr>
              <w:t>достаточны</w:t>
            </w:r>
          </w:p>
        </w:tc>
      </w:tr>
    </w:tbl>
    <w:p w:rsidR="00D20F81" w:rsidRPr="00457A7B" w:rsidRDefault="00ED345B" w:rsidP="00ED345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>
        <w:rPr>
          <w:rFonts w:ascii="Times New Roman" w:hAnsi="Times New Roman" w:cs="Times New Roman"/>
          <w:sz w:val="26"/>
          <w:szCs w:val="27"/>
        </w:rPr>
        <w:t>7</w:t>
      </w:r>
      <w:r w:rsidR="00D20F81" w:rsidRPr="00457A7B">
        <w:rPr>
          <w:rFonts w:ascii="Times New Roman" w:hAnsi="Times New Roman" w:cs="Times New Roman"/>
          <w:sz w:val="26"/>
          <w:szCs w:val="27"/>
        </w:rPr>
        <w:t>. Общая оценка достаточности предложенных в отчете о проведении ОРВ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D20F81"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</w:p>
    <w:tbl>
      <w:tblPr>
        <w:tblStyle w:val="a9"/>
        <w:tblpPr w:leftFromText="180" w:rightFromText="180" w:vertAnchor="text" w:horzAnchor="margin" w:tblpXSpec="right" w:tblpY="255"/>
        <w:tblW w:w="0" w:type="auto"/>
        <w:tblLook w:val="04A0" w:firstRow="1" w:lastRow="0" w:firstColumn="1" w:lastColumn="0" w:noHBand="0" w:noVBand="1"/>
      </w:tblPr>
      <w:tblGrid>
        <w:gridCol w:w="1276"/>
      </w:tblGrid>
      <w:tr w:rsidR="00ED345B" w:rsidTr="00ED345B">
        <w:tc>
          <w:tcPr>
            <w:tcW w:w="1276" w:type="dxa"/>
            <w:tcBorders>
              <w:top w:val="nil"/>
              <w:left w:val="nil"/>
              <w:right w:val="nil"/>
            </w:tcBorders>
          </w:tcPr>
          <w:p w:rsidR="00ED345B" w:rsidRPr="00ED345B" w:rsidRDefault="00ED345B" w:rsidP="00ED345B">
            <w:pPr>
              <w:pStyle w:val="a4"/>
              <w:jc w:val="both"/>
              <w:rPr>
                <w:rFonts w:ascii="Times New Roman" w:hAnsi="Times New Roman" w:cs="Times New Roman"/>
                <w:sz w:val="26"/>
                <w:szCs w:val="27"/>
              </w:rPr>
            </w:pPr>
            <w:r w:rsidRPr="00ED345B">
              <w:rPr>
                <w:rFonts w:ascii="Times New Roman" w:hAnsi="Times New Roman" w:cs="Times New Roman"/>
                <w:b/>
                <w:sz w:val="26"/>
                <w:szCs w:val="27"/>
              </w:rPr>
              <w:t>высокая</w:t>
            </w:r>
          </w:p>
        </w:tc>
      </w:tr>
    </w:tbl>
    <w:p w:rsidR="00D20F81" w:rsidRPr="00457A7B" w:rsidRDefault="00ED345B" w:rsidP="00ED345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>
        <w:rPr>
          <w:rFonts w:ascii="Times New Roman" w:hAnsi="Times New Roman" w:cs="Times New Roman"/>
          <w:sz w:val="26"/>
          <w:szCs w:val="27"/>
        </w:rPr>
        <w:t>8</w:t>
      </w:r>
      <w:r w:rsidR="00D20F81" w:rsidRPr="00457A7B">
        <w:rPr>
          <w:rFonts w:ascii="Times New Roman" w:hAnsi="Times New Roman" w:cs="Times New Roman"/>
          <w:sz w:val="26"/>
          <w:szCs w:val="27"/>
        </w:rPr>
        <w:t>. Оценка эффективности предложенных в отчете о проведении ОРВ</w:t>
      </w:r>
      <w:r w:rsidR="008115B2" w:rsidRPr="00457A7B">
        <w:rPr>
          <w:rFonts w:ascii="Times New Roman" w:hAnsi="Times New Roman" w:cs="Times New Roman"/>
          <w:sz w:val="26"/>
          <w:szCs w:val="27"/>
        </w:rPr>
        <w:t xml:space="preserve"> </w:t>
      </w:r>
      <w:r w:rsidR="00D20F81" w:rsidRPr="00457A7B">
        <w:rPr>
          <w:rFonts w:ascii="Times New Roman" w:hAnsi="Times New Roman" w:cs="Times New Roman"/>
          <w:sz w:val="26"/>
          <w:szCs w:val="27"/>
        </w:rPr>
        <w:t>вариантов правового регулирования: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</w:p>
    <w:p w:rsidR="00ED345B" w:rsidRDefault="00ED345B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>
        <w:rPr>
          <w:rFonts w:ascii="Times New Roman" w:hAnsi="Times New Roman" w:cs="Times New Roman"/>
          <w:sz w:val="26"/>
          <w:szCs w:val="27"/>
        </w:rPr>
        <w:t>9</w:t>
      </w:r>
      <w:r w:rsidR="00D20F81" w:rsidRPr="00457A7B">
        <w:rPr>
          <w:rFonts w:ascii="Times New Roman" w:hAnsi="Times New Roman" w:cs="Times New Roman"/>
          <w:sz w:val="26"/>
          <w:szCs w:val="27"/>
        </w:rPr>
        <w:t>. Оценка обоснованности выводов, содержащихся в отчете о проведении ОРВ:</w:t>
      </w:r>
      <w:r w:rsidR="00457A7B" w:rsidRPr="00457A7B">
        <w:rPr>
          <w:rFonts w:ascii="Times New Roman" w:hAnsi="Times New Roman" w:cs="Times New Roman"/>
          <w:sz w:val="26"/>
          <w:szCs w:val="27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0704"/>
      </w:tblGrid>
      <w:tr w:rsidR="00ED345B" w:rsidTr="00ED345B">
        <w:tc>
          <w:tcPr>
            <w:tcW w:w="10704" w:type="dxa"/>
            <w:tcBorders>
              <w:top w:val="nil"/>
              <w:left w:val="nil"/>
              <w:right w:val="nil"/>
            </w:tcBorders>
          </w:tcPr>
          <w:p w:rsidR="00ED345B" w:rsidRPr="00ED345B" w:rsidRDefault="00ED345B" w:rsidP="00ED345B">
            <w:pPr>
              <w:pStyle w:val="a4"/>
              <w:jc w:val="center"/>
              <w:rPr>
                <w:rFonts w:ascii="Times New Roman" w:hAnsi="Times New Roman" w:cs="Times New Roman"/>
                <w:sz w:val="26"/>
                <w:szCs w:val="27"/>
              </w:rPr>
            </w:pPr>
            <w:r w:rsidRPr="00ED345B">
              <w:rPr>
                <w:rFonts w:ascii="Times New Roman" w:hAnsi="Times New Roman" w:cs="Times New Roman"/>
                <w:b/>
                <w:sz w:val="26"/>
                <w:szCs w:val="27"/>
              </w:rPr>
              <w:t>выводы обоснованы</w:t>
            </w:r>
          </w:p>
        </w:tc>
      </w:tr>
    </w:tbl>
    <w:p w:rsidR="00D20F81" w:rsidRPr="00457A7B" w:rsidRDefault="00ED345B" w:rsidP="00457A7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>
        <w:rPr>
          <w:rFonts w:ascii="Times New Roman" w:hAnsi="Times New Roman" w:cs="Times New Roman"/>
          <w:sz w:val="26"/>
          <w:szCs w:val="27"/>
        </w:rPr>
        <w:t>10</w:t>
      </w:r>
      <w:r w:rsidR="00D20F81" w:rsidRPr="00457A7B">
        <w:rPr>
          <w:rFonts w:ascii="Times New Roman" w:hAnsi="Times New Roman" w:cs="Times New Roman"/>
          <w:sz w:val="26"/>
          <w:szCs w:val="27"/>
        </w:rPr>
        <w:t>. Выводы:</w:t>
      </w:r>
    </w:p>
    <w:p w:rsidR="003C7525" w:rsidRPr="00457A7B" w:rsidRDefault="003C7525" w:rsidP="003C7525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>1) разработчиком соблюдены требования к процедуре проведения ОРВ, установленные Порядком;</w:t>
      </w:r>
    </w:p>
    <w:p w:rsidR="00457A7B" w:rsidRPr="00613EEB" w:rsidRDefault="003C7525" w:rsidP="00613EEB">
      <w:pPr>
        <w:pStyle w:val="a4"/>
        <w:ind w:firstLine="708"/>
        <w:jc w:val="both"/>
        <w:rPr>
          <w:rFonts w:ascii="Times New Roman" w:hAnsi="Times New Roman" w:cs="Times New Roman"/>
          <w:sz w:val="26"/>
          <w:szCs w:val="27"/>
        </w:rPr>
      </w:pPr>
      <w:r w:rsidRPr="00457A7B">
        <w:rPr>
          <w:rFonts w:ascii="Times New Roman" w:hAnsi="Times New Roman" w:cs="Times New Roman"/>
          <w:sz w:val="26"/>
          <w:szCs w:val="27"/>
        </w:rPr>
        <w:t xml:space="preserve">2) </w:t>
      </w:r>
      <w:r>
        <w:rPr>
          <w:rFonts w:ascii="Times New Roman" w:hAnsi="Times New Roman" w:cs="Times New Roman"/>
          <w:sz w:val="26"/>
          <w:szCs w:val="27"/>
        </w:rPr>
        <w:t>внести проект нормативного акта на рассмотрение Главы городского округа Кинель.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2255"/>
        <w:gridCol w:w="4407"/>
      </w:tblGrid>
      <w:tr w:rsidR="00004906" w:rsidRPr="00004906" w:rsidTr="0030339E">
        <w:tc>
          <w:tcPr>
            <w:tcW w:w="3936" w:type="dxa"/>
          </w:tcPr>
          <w:p w:rsidR="00004906" w:rsidRPr="00004906" w:rsidRDefault="00004906" w:rsidP="00004906">
            <w:pPr>
              <w:rPr>
                <w:sz w:val="26"/>
                <w:szCs w:val="27"/>
              </w:rPr>
            </w:pPr>
          </w:p>
          <w:p w:rsidR="00004906" w:rsidRPr="00004906" w:rsidRDefault="00004906" w:rsidP="00004906">
            <w:pPr>
              <w:rPr>
                <w:sz w:val="26"/>
                <w:szCs w:val="27"/>
              </w:rPr>
            </w:pPr>
            <w:r w:rsidRPr="00004906">
              <w:rPr>
                <w:sz w:val="26"/>
                <w:szCs w:val="27"/>
              </w:rPr>
              <w:t>Первый заместитель Главы</w:t>
            </w:r>
          </w:p>
          <w:p w:rsidR="00004906" w:rsidRPr="00004906" w:rsidRDefault="00004906" w:rsidP="00004906">
            <w:pPr>
              <w:rPr>
                <w:sz w:val="26"/>
                <w:szCs w:val="27"/>
              </w:rPr>
            </w:pPr>
            <w:r w:rsidRPr="00004906">
              <w:rPr>
                <w:sz w:val="26"/>
                <w:szCs w:val="27"/>
              </w:rPr>
              <w:t xml:space="preserve">городского округа </w:t>
            </w:r>
          </w:p>
          <w:p w:rsidR="00004906" w:rsidRPr="00004906" w:rsidRDefault="00004906" w:rsidP="00004906">
            <w:pPr>
              <w:rPr>
                <w:sz w:val="26"/>
                <w:szCs w:val="27"/>
              </w:rPr>
            </w:pPr>
          </w:p>
        </w:tc>
        <w:tc>
          <w:tcPr>
            <w:tcW w:w="2255" w:type="dxa"/>
          </w:tcPr>
          <w:p w:rsidR="00004906" w:rsidRPr="00004906" w:rsidRDefault="00004906" w:rsidP="00004906">
            <w:pPr>
              <w:rPr>
                <w:i/>
                <w:sz w:val="26"/>
                <w:szCs w:val="27"/>
              </w:rPr>
            </w:pPr>
          </w:p>
          <w:p w:rsidR="00004906" w:rsidRPr="00004906" w:rsidRDefault="00004906" w:rsidP="00004906">
            <w:pPr>
              <w:rPr>
                <w:i/>
                <w:sz w:val="26"/>
                <w:szCs w:val="27"/>
              </w:rPr>
            </w:pPr>
          </w:p>
          <w:p w:rsidR="00004906" w:rsidRPr="00004906" w:rsidRDefault="00004906" w:rsidP="00004906">
            <w:pPr>
              <w:rPr>
                <w:i/>
                <w:sz w:val="26"/>
                <w:szCs w:val="27"/>
              </w:rPr>
            </w:pPr>
            <w:r w:rsidRPr="00004906">
              <w:rPr>
                <w:i/>
                <w:sz w:val="26"/>
                <w:szCs w:val="27"/>
              </w:rPr>
              <w:t xml:space="preserve">                                  </w:t>
            </w:r>
          </w:p>
          <w:p w:rsidR="00004906" w:rsidRPr="00004906" w:rsidRDefault="00004906" w:rsidP="00004906">
            <w:pPr>
              <w:rPr>
                <w:i/>
                <w:sz w:val="26"/>
                <w:szCs w:val="27"/>
              </w:rPr>
            </w:pPr>
            <w:r w:rsidRPr="00004906">
              <w:rPr>
                <w:i/>
                <w:sz w:val="26"/>
                <w:szCs w:val="27"/>
              </w:rPr>
              <w:t xml:space="preserve">                                          </w:t>
            </w:r>
          </w:p>
        </w:tc>
        <w:tc>
          <w:tcPr>
            <w:tcW w:w="4407" w:type="dxa"/>
          </w:tcPr>
          <w:p w:rsidR="00004906" w:rsidRPr="00004906" w:rsidRDefault="00004906" w:rsidP="00004906">
            <w:pPr>
              <w:rPr>
                <w:sz w:val="26"/>
                <w:szCs w:val="27"/>
              </w:rPr>
            </w:pPr>
          </w:p>
          <w:p w:rsidR="00004906" w:rsidRPr="00004906" w:rsidRDefault="00004906" w:rsidP="00004906">
            <w:pPr>
              <w:rPr>
                <w:sz w:val="26"/>
                <w:szCs w:val="27"/>
              </w:rPr>
            </w:pPr>
          </w:p>
          <w:p w:rsidR="00004906" w:rsidRPr="00004906" w:rsidRDefault="00004906" w:rsidP="00004906">
            <w:pPr>
              <w:rPr>
                <w:sz w:val="26"/>
                <w:szCs w:val="27"/>
              </w:rPr>
            </w:pPr>
            <w:r w:rsidRPr="00004906">
              <w:rPr>
                <w:sz w:val="26"/>
                <w:szCs w:val="27"/>
              </w:rPr>
              <w:t xml:space="preserve">    </w:t>
            </w:r>
            <w:r w:rsidR="00D93925">
              <w:rPr>
                <w:sz w:val="26"/>
                <w:szCs w:val="27"/>
              </w:rPr>
              <w:t xml:space="preserve">   </w:t>
            </w:r>
            <w:r w:rsidRPr="00004906">
              <w:rPr>
                <w:sz w:val="26"/>
                <w:szCs w:val="27"/>
              </w:rPr>
              <w:t xml:space="preserve">                             А.А. Прокудин</w:t>
            </w:r>
          </w:p>
        </w:tc>
      </w:tr>
    </w:tbl>
    <w:p w:rsidR="00687389" w:rsidRPr="00004906" w:rsidRDefault="00432868" w:rsidP="00004906">
      <w:pPr>
        <w:rPr>
          <w:sz w:val="26"/>
          <w:szCs w:val="27"/>
        </w:rPr>
      </w:pPr>
      <w:r>
        <w:rPr>
          <w:sz w:val="26"/>
          <w:szCs w:val="27"/>
        </w:rPr>
        <w:t>30.09</w:t>
      </w:r>
      <w:r w:rsidR="00004906" w:rsidRPr="00004906">
        <w:rPr>
          <w:sz w:val="26"/>
          <w:szCs w:val="27"/>
        </w:rPr>
        <w:t>.20</w:t>
      </w:r>
      <w:r w:rsidR="00D04C34">
        <w:rPr>
          <w:sz w:val="26"/>
          <w:szCs w:val="27"/>
        </w:rPr>
        <w:t>20</w:t>
      </w:r>
      <w:r w:rsidR="00004906" w:rsidRPr="00004906">
        <w:rPr>
          <w:sz w:val="26"/>
          <w:szCs w:val="27"/>
        </w:rPr>
        <w:t xml:space="preserve"> г.</w:t>
      </w:r>
    </w:p>
    <w:sectPr w:rsidR="00687389" w:rsidRPr="00004906" w:rsidSect="005C525D">
      <w:pgSz w:w="11906" w:h="16838"/>
      <w:pgMar w:top="709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20F81"/>
    <w:rsid w:val="00004906"/>
    <w:rsid w:val="00014EBD"/>
    <w:rsid w:val="00015A80"/>
    <w:rsid w:val="000236AB"/>
    <w:rsid w:val="0002387A"/>
    <w:rsid w:val="00034225"/>
    <w:rsid w:val="00045C96"/>
    <w:rsid w:val="00076759"/>
    <w:rsid w:val="00080B83"/>
    <w:rsid w:val="000A0E8F"/>
    <w:rsid w:val="0011145D"/>
    <w:rsid w:val="001371F8"/>
    <w:rsid w:val="00145DD8"/>
    <w:rsid w:val="00154A61"/>
    <w:rsid w:val="00192A7B"/>
    <w:rsid w:val="001C4392"/>
    <w:rsid w:val="001E3431"/>
    <w:rsid w:val="00205E95"/>
    <w:rsid w:val="00217B7E"/>
    <w:rsid w:val="00231D83"/>
    <w:rsid w:val="00251047"/>
    <w:rsid w:val="002833DF"/>
    <w:rsid w:val="002858B6"/>
    <w:rsid w:val="00296141"/>
    <w:rsid w:val="002D3E62"/>
    <w:rsid w:val="002E3C26"/>
    <w:rsid w:val="002F4EE2"/>
    <w:rsid w:val="00341EA9"/>
    <w:rsid w:val="00365526"/>
    <w:rsid w:val="003766BB"/>
    <w:rsid w:val="003C7525"/>
    <w:rsid w:val="00403DEF"/>
    <w:rsid w:val="00422110"/>
    <w:rsid w:val="00432868"/>
    <w:rsid w:val="0045605A"/>
    <w:rsid w:val="00457A7B"/>
    <w:rsid w:val="00482586"/>
    <w:rsid w:val="004E0631"/>
    <w:rsid w:val="004F738D"/>
    <w:rsid w:val="005749DD"/>
    <w:rsid w:val="005C525D"/>
    <w:rsid w:val="00613EEB"/>
    <w:rsid w:val="00633171"/>
    <w:rsid w:val="00687389"/>
    <w:rsid w:val="006A3101"/>
    <w:rsid w:val="007124DC"/>
    <w:rsid w:val="00727686"/>
    <w:rsid w:val="00751CAD"/>
    <w:rsid w:val="00780F06"/>
    <w:rsid w:val="007E318C"/>
    <w:rsid w:val="007F769D"/>
    <w:rsid w:val="008115B2"/>
    <w:rsid w:val="008314D9"/>
    <w:rsid w:val="008F590C"/>
    <w:rsid w:val="009035F5"/>
    <w:rsid w:val="009355D0"/>
    <w:rsid w:val="009558C7"/>
    <w:rsid w:val="0096083E"/>
    <w:rsid w:val="00966D05"/>
    <w:rsid w:val="009748B1"/>
    <w:rsid w:val="009752B2"/>
    <w:rsid w:val="00992A0B"/>
    <w:rsid w:val="00A02F8A"/>
    <w:rsid w:val="00A1028A"/>
    <w:rsid w:val="00A41D4E"/>
    <w:rsid w:val="00A4784F"/>
    <w:rsid w:val="00A632B2"/>
    <w:rsid w:val="00A653D2"/>
    <w:rsid w:val="00A804F2"/>
    <w:rsid w:val="00AE263B"/>
    <w:rsid w:val="00AE39C2"/>
    <w:rsid w:val="00B62822"/>
    <w:rsid w:val="00B700A1"/>
    <w:rsid w:val="00B92769"/>
    <w:rsid w:val="00BB7E52"/>
    <w:rsid w:val="00BD2E5D"/>
    <w:rsid w:val="00C912AB"/>
    <w:rsid w:val="00CA49E7"/>
    <w:rsid w:val="00D04C34"/>
    <w:rsid w:val="00D10778"/>
    <w:rsid w:val="00D20F81"/>
    <w:rsid w:val="00D672B7"/>
    <w:rsid w:val="00D93925"/>
    <w:rsid w:val="00DC04C7"/>
    <w:rsid w:val="00E06C02"/>
    <w:rsid w:val="00E146B9"/>
    <w:rsid w:val="00E93801"/>
    <w:rsid w:val="00E979A9"/>
    <w:rsid w:val="00EC11FA"/>
    <w:rsid w:val="00EC739E"/>
    <w:rsid w:val="00ED345B"/>
    <w:rsid w:val="00F07F5D"/>
    <w:rsid w:val="00F444BC"/>
    <w:rsid w:val="00F6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A171ED-7211-476B-B608-F368FB877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0F81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D20F81"/>
    <w:rPr>
      <w:rFonts w:cs="Times New Roman"/>
      <w:color w:val="106BBE"/>
    </w:rPr>
  </w:style>
  <w:style w:type="paragraph" w:customStyle="1" w:styleId="a4">
    <w:name w:val="Таблицы (моноширинный)"/>
    <w:basedOn w:val="a"/>
    <w:next w:val="a"/>
    <w:uiPriority w:val="99"/>
    <w:rsid w:val="00D20F81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styleId="a5">
    <w:name w:val="Strong"/>
    <w:basedOn w:val="a0"/>
    <w:uiPriority w:val="99"/>
    <w:qFormat/>
    <w:rsid w:val="00D20F81"/>
    <w:rPr>
      <w:rFonts w:cs="Times New Roman"/>
      <w:b/>
      <w:bCs/>
    </w:rPr>
  </w:style>
  <w:style w:type="paragraph" w:styleId="a6">
    <w:name w:val="Normal (Web)"/>
    <w:basedOn w:val="a"/>
    <w:uiPriority w:val="99"/>
    <w:rsid w:val="00D20F81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D20F8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7">
    <w:name w:val="Balloon Text"/>
    <w:basedOn w:val="a"/>
    <w:link w:val="a8"/>
    <w:uiPriority w:val="99"/>
    <w:semiHidden/>
    <w:unhideWhenUsed/>
    <w:rsid w:val="004F738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F738D"/>
    <w:rPr>
      <w:rFonts w:ascii="Segoe UI" w:eastAsia="Times New Roman" w:hAnsi="Segoe UI" w:cs="Segoe UI"/>
      <w:sz w:val="18"/>
      <w:szCs w:val="18"/>
    </w:rPr>
  </w:style>
  <w:style w:type="table" w:styleId="a9">
    <w:name w:val="Table Grid"/>
    <w:basedOn w:val="a1"/>
    <w:uiPriority w:val="59"/>
    <w:rsid w:val="005C52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8266449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1</Pages>
  <Words>389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2606</CharactersWithSpaces>
  <SharedDoc>false</SharedDoc>
  <HLinks>
    <vt:vector size="6" baseType="variant">
      <vt:variant>
        <vt:i4>5832726</vt:i4>
      </vt:variant>
      <vt:variant>
        <vt:i4>0</vt:i4>
      </vt:variant>
      <vt:variant>
        <vt:i4>0</vt:i4>
      </vt:variant>
      <vt:variant>
        <vt:i4>5</vt:i4>
      </vt:variant>
      <vt:variant>
        <vt:lpwstr>garantf1://8266449.0/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Zeezina</cp:lastModifiedBy>
  <cp:revision>45</cp:revision>
  <cp:lastPrinted>2020-05-15T07:06:00Z</cp:lastPrinted>
  <dcterms:created xsi:type="dcterms:W3CDTF">2016-11-15T07:37:00Z</dcterms:created>
  <dcterms:modified xsi:type="dcterms:W3CDTF">2020-10-28T06:28:00Z</dcterms:modified>
</cp:coreProperties>
</file>