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BC426F">
        <w:rPr>
          <w:b/>
          <w:color w:val="191919"/>
          <w:szCs w:val="28"/>
        </w:rPr>
        <w:t>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Pr="00BE7460">
        <w:rPr>
          <w:b/>
          <w:color w:val="191919"/>
          <w:szCs w:val="28"/>
        </w:rPr>
        <w:t>)</w:t>
      </w:r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BC426F">
        <w:rPr>
          <w:color w:val="191919"/>
          <w:szCs w:val="28"/>
        </w:rPr>
        <w:t>дополнений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</w:t>
      </w:r>
      <w:proofErr w:type="gramEnd"/>
      <w:r>
        <w:rPr>
          <w:szCs w:val="28"/>
        </w:rPr>
        <w:t xml:space="preserve"> дополнительных расходов из областного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AE7E78" w:rsidRDefault="00AE7E78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</w:p>
          <w:p w:rsidR="00E37FC6" w:rsidRDefault="00AE7E78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AE7E78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C79AB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E23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25</cp:revision>
  <cp:lastPrinted>2017-08-29T07:28:00Z</cp:lastPrinted>
  <dcterms:created xsi:type="dcterms:W3CDTF">2016-10-21T07:37:00Z</dcterms:created>
  <dcterms:modified xsi:type="dcterms:W3CDTF">2019-06-24T09:23:00Z</dcterms:modified>
</cp:coreProperties>
</file>